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lang w:val="zh-CN" w:eastAsia="zh-CN" w:bidi="zh-CN"/>
        </w:rPr>
      </w:pPr>
      <w:bookmarkStart w:id="0" w:name="bookmark0"/>
      <w:bookmarkStart w:id="1" w:name="bookmark2"/>
      <w:bookmarkStart w:id="2" w:name="bookmark1"/>
    </w:p>
    <w:p>
      <w:pPr>
        <w:jc w:val="center"/>
        <w:rPr>
          <w:rFonts w:ascii="方正小标宋简体" w:eastAsia="方正小标宋简体"/>
          <w:sz w:val="44"/>
          <w:szCs w:val="44"/>
          <w:lang w:eastAsia="zh-CN" w:bidi="zh-CN"/>
        </w:rPr>
      </w:pPr>
      <w:r>
        <w:rPr>
          <w:rFonts w:hint="eastAsia" w:ascii="方正小标宋简体" w:eastAsia="方正小标宋简体"/>
          <w:sz w:val="44"/>
          <w:szCs w:val="44"/>
          <w:lang w:val="zh-CN" w:eastAsia="zh-CN" w:bidi="zh-CN"/>
        </w:rPr>
        <w:t>东平铁路公司</w:t>
      </w:r>
      <w:r>
        <w:rPr>
          <w:rFonts w:hint="eastAsia" w:ascii="方正小标宋简体" w:eastAsia="方正小标宋简体"/>
          <w:sz w:val="44"/>
          <w:szCs w:val="44"/>
          <w:lang w:eastAsia="zh-CN" w:bidi="zh-CN"/>
        </w:rPr>
        <w:t>年度公开信息</w:t>
      </w:r>
    </w:p>
    <w:bookmarkEnd w:id="0"/>
    <w:bookmarkEnd w:id="1"/>
    <w:bookmarkEnd w:id="2"/>
    <w:p>
      <w:pPr>
        <w:rPr>
          <w:rFonts w:ascii="黑体" w:hAnsi="黑体" w:eastAsia="黑体" w:cs="黑体"/>
          <w:sz w:val="32"/>
          <w:szCs w:val="32"/>
          <w:lang w:eastAsia="zh-CN"/>
        </w:rPr>
      </w:pPr>
    </w:p>
    <w:p>
      <w:pPr>
        <w:spacing w:line="580" w:lineRule="exact"/>
        <w:ind w:firstLine="707" w:firstLineChars="221"/>
        <w:rPr>
          <w:rFonts w:ascii="黑体" w:hAnsi="黑体" w:eastAsia="黑体" w:cs="黑体"/>
          <w:sz w:val="32"/>
          <w:szCs w:val="32"/>
          <w:lang w:eastAsia="zh-CN"/>
        </w:rPr>
      </w:pPr>
      <w:r>
        <w:rPr>
          <w:rFonts w:ascii="黑体" w:hAnsi="黑体" w:eastAsia="黑体" w:cs="黑体"/>
          <w:sz w:val="32"/>
          <w:szCs w:val="32"/>
          <w:lang w:eastAsia="zh-CN"/>
        </w:rPr>
        <w:t xml:space="preserve">一、工商注册登记等公司基本信息 </w:t>
      </w:r>
    </w:p>
    <w:p>
      <w:pPr>
        <w:spacing w:line="580" w:lineRule="exact"/>
        <w:ind w:firstLine="707" w:firstLineChars="221"/>
        <w:rPr>
          <w:rFonts w:ascii="黑体" w:hAnsi="黑体" w:eastAsia="黑体" w:cs="黑体"/>
          <w:sz w:val="32"/>
          <w:szCs w:val="32"/>
          <w:lang w:eastAsia="zh-CN"/>
        </w:rPr>
      </w:pPr>
      <w:r>
        <w:rPr>
          <w:rFonts w:ascii="黑体" w:hAnsi="黑体" w:eastAsia="黑体" w:cs="黑体"/>
          <w:sz w:val="32"/>
          <w:szCs w:val="32"/>
          <w:lang w:eastAsia="zh-CN"/>
        </w:rPr>
        <w:t xml:space="preserve">（一）公司简介 </w:t>
      </w:r>
    </w:p>
    <w:p>
      <w:pPr>
        <w:spacing w:line="580" w:lineRule="exact"/>
        <w:ind w:firstLine="707" w:firstLineChars="221"/>
        <w:jc w:val="both"/>
        <w:rPr>
          <w:rFonts w:ascii="仿宋_GB2312" w:hAnsi="黑体" w:eastAsia="仿宋_GB2312"/>
          <w:sz w:val="32"/>
          <w:szCs w:val="28"/>
          <w:lang w:eastAsia="zh-CN"/>
        </w:rPr>
      </w:pPr>
      <w:r>
        <w:rPr>
          <w:rFonts w:hint="eastAsia" w:ascii="仿宋_GB2312" w:hAnsi="黑体" w:eastAsia="仿宋_GB2312"/>
          <w:sz w:val="32"/>
          <w:szCs w:val="28"/>
          <w:lang w:eastAsia="zh-CN"/>
        </w:rPr>
        <w:t>东平铁路北接磁莱线东都站，南至兖石线平邑站，管辖东牛家庄、放城两个车站，全长</w:t>
      </w:r>
      <w:r>
        <w:rPr>
          <w:rFonts w:ascii="仿宋_GB2312" w:hAnsi="黑体" w:eastAsia="仿宋_GB2312"/>
          <w:sz w:val="32"/>
          <w:szCs w:val="28"/>
          <w:lang w:eastAsia="zh-CN"/>
        </w:rPr>
        <w:t>60.192</w:t>
      </w:r>
      <w:r>
        <w:rPr>
          <w:rFonts w:hint="eastAsia" w:ascii="仿宋_GB2312" w:hAnsi="黑体" w:eastAsia="仿宋_GB2312"/>
          <w:sz w:val="32"/>
          <w:szCs w:val="28"/>
          <w:lang w:eastAsia="zh-CN"/>
        </w:rPr>
        <w:t>公里，于</w:t>
      </w:r>
      <w:r>
        <w:rPr>
          <w:rFonts w:ascii="仿宋_GB2312" w:hAnsi="黑体" w:eastAsia="仿宋_GB2312"/>
          <w:sz w:val="32"/>
          <w:szCs w:val="28"/>
          <w:lang w:eastAsia="zh-CN"/>
        </w:rPr>
        <w:t>2010</w:t>
      </w:r>
      <w:r>
        <w:rPr>
          <w:rFonts w:hint="eastAsia" w:ascii="仿宋_GB2312" w:hAnsi="黑体" w:eastAsia="仿宋_GB2312"/>
          <w:sz w:val="32"/>
          <w:szCs w:val="28"/>
          <w:lang w:eastAsia="zh-CN"/>
        </w:rPr>
        <w:t>年</w:t>
      </w:r>
      <w:r>
        <w:rPr>
          <w:rFonts w:ascii="仿宋_GB2312" w:hAnsi="黑体" w:eastAsia="仿宋_GB2312"/>
          <w:sz w:val="32"/>
          <w:szCs w:val="28"/>
          <w:lang w:eastAsia="zh-CN"/>
        </w:rPr>
        <w:t>11</w:t>
      </w:r>
      <w:r>
        <w:rPr>
          <w:rFonts w:hint="eastAsia" w:ascii="仿宋_GB2312" w:hAnsi="黑体" w:eastAsia="仿宋_GB2312"/>
          <w:sz w:val="32"/>
          <w:szCs w:val="28"/>
          <w:lang w:eastAsia="zh-CN"/>
        </w:rPr>
        <w:t>月</w:t>
      </w:r>
      <w:r>
        <w:rPr>
          <w:rFonts w:ascii="仿宋_GB2312" w:hAnsi="黑体" w:eastAsia="仿宋_GB2312"/>
          <w:sz w:val="32"/>
          <w:szCs w:val="28"/>
          <w:lang w:eastAsia="zh-CN"/>
        </w:rPr>
        <w:t xml:space="preserve">22 </w:t>
      </w:r>
      <w:r>
        <w:rPr>
          <w:rFonts w:hint="eastAsia" w:ascii="仿宋_GB2312" w:hAnsi="黑体" w:eastAsia="仿宋_GB2312"/>
          <w:sz w:val="32"/>
          <w:szCs w:val="28"/>
          <w:lang w:eastAsia="zh-CN"/>
        </w:rPr>
        <w:t>日建成通车。</w:t>
      </w:r>
      <w:r>
        <w:rPr>
          <w:rFonts w:ascii="仿宋_GB2312" w:hAnsi="黑体" w:eastAsia="仿宋_GB2312"/>
          <w:sz w:val="32"/>
          <w:szCs w:val="28"/>
          <w:lang w:eastAsia="zh-CN"/>
        </w:rPr>
        <w:t>按照山东省委、省政府和国家铁路集团“一省一公司”的重大决策部署，</w:t>
      </w:r>
      <w:r>
        <w:rPr>
          <w:rFonts w:hint="eastAsia" w:ascii="仿宋" w:hAnsi="仿宋" w:eastAsia="仿宋" w:cs="仿宋"/>
          <w:sz w:val="32"/>
          <w:szCs w:val="32"/>
          <w:lang w:eastAsia="zh-CN"/>
        </w:rPr>
        <w:t>东平</w:t>
      </w:r>
      <w:r>
        <w:rPr>
          <w:rFonts w:ascii="仿宋_GB2312" w:hAnsi="黑体" w:eastAsia="仿宋_GB2312"/>
          <w:sz w:val="32"/>
          <w:szCs w:val="28"/>
          <w:lang w:eastAsia="zh-CN"/>
        </w:rPr>
        <w:t>铁路有限责任公司</w:t>
      </w:r>
      <w:r>
        <w:rPr>
          <w:rFonts w:hint="eastAsia" w:ascii="仿宋_GB2312" w:hAnsi="黑体" w:eastAsia="仿宋_GB2312"/>
          <w:sz w:val="32"/>
          <w:szCs w:val="28"/>
          <w:lang w:val="en-US" w:eastAsia="zh-CN"/>
        </w:rPr>
        <w:t>于2020年7月</w:t>
      </w:r>
      <w:r>
        <w:rPr>
          <w:rFonts w:ascii="仿宋_GB2312" w:hAnsi="黑体" w:eastAsia="仿宋_GB2312"/>
          <w:sz w:val="32"/>
          <w:szCs w:val="28"/>
          <w:lang w:eastAsia="zh-CN"/>
        </w:rPr>
        <w:t>由中国铁路济南局集团有限公司移交山东铁路有限公司。</w:t>
      </w:r>
    </w:p>
    <w:p>
      <w:pPr>
        <w:spacing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（二）公司注册信息</w:t>
      </w:r>
    </w:p>
    <w:p>
      <w:pPr>
        <w:spacing w:line="580" w:lineRule="exact"/>
        <w:ind w:firstLine="720" w:firstLineChars="225"/>
        <w:rPr>
          <w:rFonts w:ascii="仿宋" w:hAnsi="仿宋" w:eastAsia="仿宋" w:cs="仿宋"/>
          <w:sz w:val="32"/>
          <w:szCs w:val="32"/>
          <w:lang w:eastAsia="zh-CN"/>
        </w:rPr>
      </w:pPr>
      <w:r>
        <w:rPr>
          <w:rFonts w:hint="eastAsia" w:ascii="楷体" w:hAnsi="楷体" w:eastAsia="楷体" w:cs="楷体"/>
          <w:sz w:val="32"/>
          <w:szCs w:val="32"/>
          <w:lang w:eastAsia="zh-CN"/>
        </w:rPr>
        <w:t>公司名称：</w:t>
      </w:r>
      <w:r>
        <w:rPr>
          <w:rFonts w:hint="eastAsia" w:ascii="仿宋" w:hAnsi="仿宋" w:eastAsia="仿宋" w:cs="仿宋"/>
          <w:sz w:val="32"/>
          <w:szCs w:val="32"/>
          <w:lang w:eastAsia="zh-CN"/>
        </w:rPr>
        <w:t>东平铁路有限责任公司</w:t>
      </w:r>
    </w:p>
    <w:p>
      <w:pPr>
        <w:spacing w:line="580" w:lineRule="exact"/>
        <w:ind w:firstLine="720" w:firstLineChars="225"/>
        <w:rPr>
          <w:rFonts w:ascii="仿宋" w:hAnsi="仿宋" w:eastAsia="仿宋" w:cs="仿宋"/>
          <w:sz w:val="32"/>
          <w:szCs w:val="32"/>
          <w:lang w:eastAsia="zh-CN"/>
        </w:rPr>
      </w:pPr>
      <w:r>
        <w:rPr>
          <w:rFonts w:hint="eastAsia" w:ascii="楷体" w:hAnsi="楷体" w:eastAsia="楷体" w:cs="楷体"/>
          <w:sz w:val="32"/>
          <w:szCs w:val="32"/>
          <w:lang w:eastAsia="zh-CN"/>
        </w:rPr>
        <w:t>法定代表人：</w:t>
      </w:r>
      <w:r>
        <w:rPr>
          <w:rFonts w:hint="eastAsia" w:ascii="仿宋" w:hAnsi="仿宋" w:eastAsia="仿宋" w:cs="仿宋"/>
          <w:sz w:val="32"/>
          <w:szCs w:val="32"/>
          <w:lang w:eastAsia="zh-CN"/>
        </w:rPr>
        <w:t>王炎义</w:t>
      </w:r>
    </w:p>
    <w:p>
      <w:pPr>
        <w:spacing w:line="580" w:lineRule="exact"/>
        <w:ind w:firstLine="720" w:firstLineChars="225"/>
        <w:rPr>
          <w:rFonts w:ascii="仿宋" w:hAnsi="仿宋" w:eastAsia="仿宋" w:cs="仿宋"/>
          <w:sz w:val="32"/>
          <w:szCs w:val="32"/>
          <w:lang w:eastAsia="zh-CN"/>
        </w:rPr>
      </w:pPr>
      <w:r>
        <w:rPr>
          <w:rFonts w:hint="eastAsia" w:ascii="楷体" w:hAnsi="楷体" w:eastAsia="楷体" w:cs="楷体"/>
          <w:sz w:val="32"/>
          <w:szCs w:val="32"/>
          <w:lang w:eastAsia="zh-CN"/>
        </w:rPr>
        <w:t>统一社会信用代码：</w:t>
      </w:r>
      <w:r>
        <w:rPr>
          <w:rFonts w:hint="eastAsia" w:ascii="仿宋" w:hAnsi="仿宋" w:eastAsia="仿宋" w:cs="仿宋"/>
          <w:sz w:val="32"/>
          <w:szCs w:val="32"/>
          <w:lang w:eastAsia="zh-CN"/>
        </w:rPr>
        <w:t>91370000684811508T</w:t>
      </w:r>
      <w:r>
        <w:rPr>
          <w:rFonts w:hint="eastAsia" w:ascii="仿宋" w:hAnsi="仿宋" w:eastAsia="仿宋" w:cs="仿宋"/>
          <w:sz w:val="32"/>
          <w:szCs w:val="32"/>
          <w:lang w:eastAsia="zh-CN"/>
        </w:rPr>
        <w:tab/>
      </w:r>
    </w:p>
    <w:p>
      <w:pPr>
        <w:spacing w:line="580" w:lineRule="exact"/>
        <w:ind w:firstLine="720" w:firstLineChars="225"/>
        <w:rPr>
          <w:rFonts w:ascii="仿宋" w:hAnsi="仿宋" w:eastAsia="仿宋" w:cs="仿宋"/>
          <w:sz w:val="32"/>
          <w:szCs w:val="32"/>
          <w:lang w:eastAsia="zh-CN"/>
        </w:rPr>
      </w:pPr>
      <w:r>
        <w:rPr>
          <w:rFonts w:hint="eastAsia" w:ascii="楷体" w:hAnsi="楷体" w:eastAsia="楷体" w:cs="楷体"/>
          <w:sz w:val="32"/>
          <w:szCs w:val="32"/>
          <w:lang w:eastAsia="zh-CN"/>
        </w:rPr>
        <w:t>营业期限：</w:t>
      </w:r>
      <w:r>
        <w:rPr>
          <w:rFonts w:hint="eastAsia" w:ascii="仿宋" w:hAnsi="仿宋" w:eastAsia="仿宋" w:cs="仿宋"/>
          <w:sz w:val="32"/>
          <w:szCs w:val="32"/>
          <w:lang w:eastAsia="zh-CN"/>
        </w:rPr>
        <w:t>2009-1-17至2039-1-16</w:t>
      </w:r>
    </w:p>
    <w:p>
      <w:pPr>
        <w:spacing w:line="580" w:lineRule="exact"/>
        <w:ind w:firstLine="720" w:firstLineChars="225"/>
        <w:rPr>
          <w:rFonts w:ascii="仿宋" w:hAnsi="仿宋" w:eastAsia="仿宋" w:cs="仿宋"/>
          <w:sz w:val="32"/>
          <w:szCs w:val="32"/>
          <w:lang w:eastAsia="zh-CN"/>
        </w:rPr>
      </w:pPr>
      <w:r>
        <w:rPr>
          <w:rFonts w:hint="eastAsia" w:ascii="楷体" w:hAnsi="楷体" w:eastAsia="楷体" w:cs="楷体"/>
          <w:sz w:val="32"/>
          <w:szCs w:val="32"/>
          <w:lang w:eastAsia="zh-CN"/>
        </w:rPr>
        <w:t>注册资本：</w:t>
      </w:r>
      <w:r>
        <w:rPr>
          <w:rFonts w:hint="eastAsia" w:ascii="仿宋_GB2312" w:eastAsia="仿宋_GB2312"/>
          <w:sz w:val="32"/>
          <w:szCs w:val="32"/>
          <w:lang w:eastAsia="zh-CN"/>
        </w:rPr>
        <w:t>66410</w:t>
      </w:r>
      <w:r>
        <w:rPr>
          <w:rFonts w:eastAsia="仿宋_GB2312"/>
          <w:sz w:val="32"/>
          <w:szCs w:val="32"/>
          <w:lang w:eastAsia="zh-CN"/>
        </w:rPr>
        <w:t>万元</w:t>
      </w:r>
    </w:p>
    <w:p>
      <w:pPr>
        <w:spacing w:line="580" w:lineRule="exact"/>
        <w:ind w:firstLine="720" w:firstLineChars="225"/>
        <w:rPr>
          <w:rFonts w:ascii="仿宋" w:hAnsi="仿宋" w:eastAsia="仿宋" w:cs="仿宋"/>
          <w:sz w:val="32"/>
          <w:szCs w:val="32"/>
          <w:lang w:eastAsia="zh-CN"/>
        </w:rPr>
      </w:pPr>
      <w:r>
        <w:rPr>
          <w:rFonts w:hint="eastAsia" w:ascii="楷体" w:hAnsi="楷体" w:eastAsia="楷体" w:cs="楷体"/>
          <w:sz w:val="32"/>
          <w:szCs w:val="32"/>
          <w:lang w:eastAsia="zh-CN"/>
        </w:rPr>
        <w:t>公司类型：</w:t>
      </w:r>
      <w:r>
        <w:rPr>
          <w:rFonts w:hint="eastAsia" w:ascii="仿宋" w:hAnsi="仿宋" w:eastAsia="仿宋" w:cs="仿宋"/>
          <w:sz w:val="32"/>
          <w:szCs w:val="32"/>
          <w:lang w:eastAsia="zh-CN"/>
        </w:rPr>
        <w:t>有限责任公司</w:t>
      </w:r>
      <w:r>
        <w:rPr>
          <w:rFonts w:hint="eastAsia" w:ascii="仿宋" w:hAnsi="仿宋" w:eastAsia="仿宋" w:cs="仿宋"/>
          <w:sz w:val="32"/>
          <w:szCs w:val="32"/>
          <w:lang w:eastAsia="zh-CN"/>
        </w:rPr>
        <w:tab/>
      </w:r>
    </w:p>
    <w:p>
      <w:pPr>
        <w:spacing w:line="580" w:lineRule="exact"/>
        <w:ind w:firstLine="720" w:firstLineChars="225"/>
        <w:rPr>
          <w:rFonts w:ascii="仿宋" w:hAnsi="仿宋" w:eastAsia="仿宋" w:cs="仿宋"/>
          <w:sz w:val="32"/>
          <w:szCs w:val="32"/>
          <w:lang w:eastAsia="zh-CN"/>
        </w:rPr>
      </w:pPr>
      <w:r>
        <w:rPr>
          <w:rFonts w:hint="eastAsia" w:ascii="楷体" w:hAnsi="楷体" w:eastAsia="楷体" w:cs="楷体"/>
          <w:sz w:val="32"/>
          <w:szCs w:val="32"/>
          <w:lang w:eastAsia="zh-CN"/>
        </w:rPr>
        <w:t>登记机关：</w:t>
      </w:r>
      <w:r>
        <w:rPr>
          <w:rFonts w:hint="eastAsia" w:ascii="仿宋" w:hAnsi="仿宋" w:eastAsia="仿宋" w:cs="仿宋"/>
          <w:sz w:val="32"/>
          <w:szCs w:val="32"/>
          <w:lang w:eastAsia="zh-CN"/>
        </w:rPr>
        <w:t>临沂市兰山区行政审批服务局</w:t>
      </w:r>
      <w:r>
        <w:rPr>
          <w:rFonts w:hint="eastAsia" w:ascii="仿宋" w:hAnsi="仿宋" w:eastAsia="仿宋" w:cs="仿宋"/>
          <w:sz w:val="32"/>
          <w:szCs w:val="32"/>
          <w:lang w:eastAsia="zh-CN"/>
        </w:rPr>
        <w:tab/>
      </w:r>
    </w:p>
    <w:p>
      <w:pPr>
        <w:spacing w:line="580" w:lineRule="exact"/>
        <w:ind w:firstLine="720" w:firstLineChars="225"/>
        <w:rPr>
          <w:rFonts w:ascii="仿宋" w:hAnsi="仿宋" w:eastAsia="仿宋" w:cs="仿宋"/>
          <w:sz w:val="32"/>
          <w:szCs w:val="32"/>
          <w:lang w:eastAsia="zh-CN"/>
        </w:rPr>
      </w:pPr>
      <w:r>
        <w:rPr>
          <w:rFonts w:hint="eastAsia" w:ascii="楷体" w:hAnsi="楷体" w:eastAsia="楷体" w:cs="楷体"/>
          <w:sz w:val="32"/>
          <w:szCs w:val="32"/>
          <w:lang w:eastAsia="zh-CN"/>
        </w:rPr>
        <w:t>注册地址：</w:t>
      </w:r>
      <w:r>
        <w:rPr>
          <w:rFonts w:hint="eastAsia" w:ascii="仿宋" w:hAnsi="仿宋" w:eastAsia="仿宋" w:cs="仿宋"/>
          <w:sz w:val="32"/>
          <w:szCs w:val="32"/>
          <w:lang w:eastAsia="zh-CN"/>
        </w:rPr>
        <w:t>山东省临沂市兰山区柳青街道沂蒙北路与南京路交汇处山东高速临沂大厦7、8、9层</w:t>
      </w:r>
    </w:p>
    <w:p>
      <w:pPr>
        <w:spacing w:line="580" w:lineRule="exact"/>
        <w:ind w:firstLine="720" w:firstLineChars="225"/>
        <w:rPr>
          <w:rFonts w:ascii="仿宋" w:hAnsi="仿宋" w:eastAsia="仿宋" w:cs="仿宋"/>
          <w:sz w:val="32"/>
          <w:szCs w:val="32"/>
          <w:lang w:eastAsia="zh-CN"/>
        </w:rPr>
      </w:pPr>
      <w:r>
        <w:rPr>
          <w:rFonts w:hint="eastAsia" w:ascii="楷体" w:hAnsi="楷体" w:eastAsia="楷体" w:cs="楷体"/>
          <w:sz w:val="32"/>
          <w:szCs w:val="32"/>
          <w:lang w:eastAsia="zh-CN"/>
        </w:rPr>
        <w:t>经营范围：</w:t>
      </w:r>
      <w:r>
        <w:rPr>
          <w:rFonts w:hint="eastAsia" w:ascii="仿宋_GB2312" w:eastAsia="仿宋_GB2312"/>
          <w:bCs/>
          <w:sz w:val="32"/>
          <w:szCs w:val="32"/>
          <w:lang w:eastAsia="zh-CN"/>
        </w:rPr>
        <w:t>东平铁路的建设和客货运输，物资供销与仓储（不含危险化学品和国家限制商品）、</w:t>
      </w:r>
      <w:r>
        <w:rPr>
          <w:rFonts w:hint="eastAsia" w:ascii="仿宋_GB2312" w:eastAsia="仿宋_GB2312"/>
          <w:sz w:val="32"/>
          <w:szCs w:val="32"/>
          <w:lang w:eastAsia="zh-CN"/>
        </w:rPr>
        <w:t>矿业产品开发与销售，</w:t>
      </w:r>
      <w:r>
        <w:rPr>
          <w:rFonts w:hint="eastAsia" w:ascii="仿宋_GB2312" w:eastAsia="仿宋_GB2312"/>
          <w:bCs/>
          <w:sz w:val="32"/>
          <w:szCs w:val="32"/>
          <w:lang w:eastAsia="zh-CN"/>
        </w:rPr>
        <w:t>房地产开发（凭资质经营），物业管理。</w:t>
      </w:r>
      <w:r>
        <w:rPr>
          <w:rFonts w:hint="eastAsia" w:ascii="仿宋" w:hAnsi="仿宋" w:eastAsia="仿宋" w:cs="仿宋"/>
          <w:sz w:val="32"/>
          <w:szCs w:val="32"/>
          <w:lang w:eastAsia="zh-CN"/>
        </w:rPr>
        <w:t>（依法须经批准的项目，经相关部门批准后方可开展经营活动）</w:t>
      </w:r>
    </w:p>
    <w:p>
      <w:pPr>
        <w:spacing w:line="580" w:lineRule="exact"/>
        <w:ind w:firstLine="720" w:firstLineChars="225"/>
        <w:rPr>
          <w:rFonts w:ascii="黑体" w:hAnsi="黑体" w:eastAsia="黑体" w:cs="黑体"/>
          <w:sz w:val="32"/>
          <w:szCs w:val="32"/>
          <w:lang w:eastAsia="zh-CN"/>
        </w:rPr>
      </w:pPr>
      <w:r>
        <w:rPr>
          <w:rFonts w:hint="eastAsia" w:ascii="黑体" w:hAnsi="黑体" w:eastAsia="黑体" w:cs="黑体"/>
          <w:sz w:val="32"/>
          <w:szCs w:val="32"/>
          <w:lang w:eastAsia="zh-CN"/>
        </w:rPr>
        <w:t>（三）股东（发起人）信息</w:t>
      </w:r>
    </w:p>
    <w:p>
      <w:pPr>
        <w:snapToGrid w:val="0"/>
        <w:spacing w:line="580" w:lineRule="exact"/>
        <w:ind w:firstLine="720" w:firstLineChars="225"/>
        <w:rPr>
          <w:rFonts w:ascii="仿宋_GB2312" w:eastAsia="仿宋_GB2312"/>
          <w:sz w:val="32"/>
          <w:szCs w:val="32"/>
          <w:lang w:eastAsia="zh-CN"/>
        </w:rPr>
      </w:pPr>
      <w:r>
        <w:rPr>
          <w:rFonts w:hint="eastAsia" w:ascii="仿宋_GB2312" w:hAnsi="黑体" w:eastAsia="仿宋_GB2312"/>
          <w:sz w:val="32"/>
          <w:szCs w:val="28"/>
          <w:lang w:eastAsia="zh-CN"/>
        </w:rPr>
        <w:t>山东铁路有限公司，</w:t>
      </w:r>
      <w:r>
        <w:rPr>
          <w:rFonts w:hint="eastAsia" w:ascii="仿宋_GB2312" w:hAnsi="宋体" w:eastAsia="仿宋_GB2312"/>
          <w:sz w:val="32"/>
          <w:szCs w:val="32"/>
          <w:lang w:eastAsia="zh-CN"/>
        </w:rPr>
        <w:t>认缴出资</w:t>
      </w:r>
      <w:r>
        <w:rPr>
          <w:rFonts w:hint="eastAsia" w:ascii="仿宋_GB2312" w:eastAsia="仿宋_GB2312"/>
          <w:sz w:val="32"/>
          <w:szCs w:val="32"/>
          <w:lang w:eastAsia="zh-CN"/>
        </w:rPr>
        <w:t>17270</w:t>
      </w:r>
      <w:r>
        <w:rPr>
          <w:rFonts w:hint="eastAsia" w:ascii="仿宋_GB2312" w:hAnsi="宋体" w:eastAsia="仿宋_GB2312"/>
          <w:sz w:val="32"/>
          <w:szCs w:val="32"/>
          <w:lang w:eastAsia="zh-CN"/>
        </w:rPr>
        <w:t>万元</w:t>
      </w:r>
      <w:r>
        <w:rPr>
          <w:rFonts w:hint="eastAsia" w:ascii="仿宋_GB2312" w:eastAsia="仿宋_GB2312"/>
          <w:sz w:val="32"/>
          <w:szCs w:val="32"/>
          <w:lang w:eastAsia="zh-CN"/>
        </w:rPr>
        <w:t>,</w:t>
      </w:r>
      <w:r>
        <w:rPr>
          <w:rFonts w:hint="eastAsia" w:ascii="仿宋_GB2312" w:hAnsi="宋体" w:eastAsia="仿宋_GB2312"/>
          <w:sz w:val="32"/>
          <w:szCs w:val="32"/>
          <w:lang w:eastAsia="zh-CN"/>
        </w:rPr>
        <w:t>占公司注册资本的</w:t>
      </w:r>
      <w:r>
        <w:rPr>
          <w:rFonts w:hint="eastAsia" w:ascii="仿宋_GB2312" w:eastAsia="仿宋_GB2312"/>
          <w:sz w:val="32"/>
          <w:szCs w:val="32"/>
          <w:lang w:eastAsia="zh-CN"/>
        </w:rPr>
        <w:t>26</w:t>
      </w:r>
      <w:r>
        <w:rPr>
          <w:rFonts w:hint="eastAsia" w:ascii="仿宋_GB2312" w:hAnsi="宋体" w:eastAsia="仿宋_GB2312"/>
          <w:sz w:val="32"/>
          <w:szCs w:val="32"/>
          <w:lang w:eastAsia="zh-CN"/>
        </w:rPr>
        <w:t>％；</w:t>
      </w:r>
    </w:p>
    <w:p>
      <w:pPr>
        <w:snapToGrid w:val="0"/>
        <w:spacing w:line="580" w:lineRule="exact"/>
        <w:ind w:firstLine="720" w:firstLineChars="225"/>
        <w:rPr>
          <w:rFonts w:ascii="仿宋_GB2312" w:eastAsia="仿宋_GB2312"/>
          <w:sz w:val="32"/>
          <w:szCs w:val="32"/>
          <w:lang w:eastAsia="zh-CN"/>
        </w:rPr>
      </w:pPr>
      <w:r>
        <w:rPr>
          <w:rFonts w:hint="eastAsia" w:ascii="仿宋_GB2312" w:hAnsi="仿宋_GB2312" w:eastAsia="仿宋_GB2312" w:cs="仿宋_GB2312"/>
          <w:sz w:val="32"/>
          <w:szCs w:val="32"/>
          <w:lang w:eastAsia="zh-CN"/>
        </w:rPr>
        <w:t>山钢</w:t>
      </w:r>
      <w:r>
        <w:rPr>
          <w:rFonts w:hint="eastAsia" w:ascii="仿宋_GB2312" w:hAnsi="仿宋_GB2312" w:eastAsia="仿宋_GB2312" w:cs="仿宋_GB2312"/>
          <w:sz w:val="32"/>
          <w:szCs w:val="32"/>
          <w:lang w:val="en-US" w:eastAsia="zh-CN"/>
        </w:rPr>
        <w:t>资本</w:t>
      </w:r>
      <w:r>
        <w:rPr>
          <w:rFonts w:hint="eastAsia" w:ascii="仿宋_GB2312" w:hAnsi="仿宋_GB2312" w:eastAsia="仿宋_GB2312" w:cs="仿宋_GB2312"/>
          <w:sz w:val="32"/>
          <w:szCs w:val="32"/>
          <w:lang w:eastAsia="zh-CN"/>
        </w:rPr>
        <w:t>控股（深圳）有限公司</w:t>
      </w:r>
      <w:r>
        <w:rPr>
          <w:rFonts w:hint="eastAsia" w:ascii="仿宋_GB2312" w:hAnsi="黑体" w:eastAsia="仿宋_GB2312"/>
          <w:sz w:val="32"/>
          <w:szCs w:val="28"/>
          <w:lang w:eastAsia="zh-CN"/>
        </w:rPr>
        <w:t>，</w:t>
      </w:r>
      <w:r>
        <w:rPr>
          <w:rFonts w:hint="eastAsia" w:ascii="仿宋_GB2312" w:hAnsi="宋体" w:eastAsia="仿宋_GB2312"/>
          <w:sz w:val="32"/>
          <w:szCs w:val="32"/>
          <w:lang w:eastAsia="zh-CN"/>
        </w:rPr>
        <w:t>认缴出资</w:t>
      </w:r>
      <w:r>
        <w:rPr>
          <w:rFonts w:hint="eastAsia" w:ascii="仿宋_GB2312" w:eastAsia="仿宋_GB2312"/>
          <w:sz w:val="32"/>
          <w:szCs w:val="32"/>
          <w:lang w:eastAsia="zh-CN"/>
        </w:rPr>
        <w:t>16600</w:t>
      </w:r>
      <w:r>
        <w:rPr>
          <w:rFonts w:hint="eastAsia" w:ascii="仿宋_GB2312" w:hAnsi="宋体" w:eastAsia="仿宋_GB2312"/>
          <w:sz w:val="32"/>
          <w:szCs w:val="32"/>
          <w:lang w:eastAsia="zh-CN"/>
        </w:rPr>
        <w:t>万元</w:t>
      </w:r>
      <w:r>
        <w:rPr>
          <w:rFonts w:hint="eastAsia" w:ascii="仿宋_GB2312" w:eastAsia="仿宋_GB2312"/>
          <w:sz w:val="32"/>
          <w:szCs w:val="32"/>
          <w:lang w:eastAsia="zh-CN"/>
        </w:rPr>
        <w:t>,</w:t>
      </w:r>
      <w:r>
        <w:rPr>
          <w:rFonts w:hint="eastAsia" w:ascii="仿宋_GB2312" w:hAnsi="宋体" w:eastAsia="仿宋_GB2312"/>
          <w:sz w:val="32"/>
          <w:szCs w:val="32"/>
          <w:lang w:eastAsia="zh-CN"/>
        </w:rPr>
        <w:t>占公司注册资本的</w:t>
      </w:r>
      <w:r>
        <w:rPr>
          <w:rFonts w:hint="eastAsia" w:ascii="仿宋_GB2312" w:eastAsia="仿宋_GB2312"/>
          <w:sz w:val="32"/>
          <w:szCs w:val="32"/>
          <w:lang w:eastAsia="zh-CN"/>
        </w:rPr>
        <w:t>25</w:t>
      </w:r>
      <w:r>
        <w:rPr>
          <w:rFonts w:hint="eastAsia" w:ascii="仿宋_GB2312" w:hAnsi="宋体" w:eastAsia="仿宋_GB2312"/>
          <w:sz w:val="32"/>
          <w:szCs w:val="32"/>
          <w:lang w:eastAsia="zh-CN"/>
        </w:rPr>
        <w:t>％；</w:t>
      </w:r>
    </w:p>
    <w:p>
      <w:pPr>
        <w:snapToGrid w:val="0"/>
        <w:spacing w:line="580" w:lineRule="exact"/>
        <w:ind w:firstLine="720" w:firstLineChars="225"/>
        <w:rPr>
          <w:rFonts w:ascii="仿宋_GB2312" w:eastAsia="仿宋_GB2312"/>
          <w:sz w:val="32"/>
          <w:szCs w:val="32"/>
          <w:lang w:eastAsia="zh-CN"/>
        </w:rPr>
      </w:pPr>
      <w:r>
        <w:rPr>
          <w:rFonts w:hint="eastAsia" w:ascii="仿宋_GB2312" w:eastAsia="仿宋_GB2312"/>
          <w:sz w:val="32"/>
          <w:szCs w:val="32"/>
          <w:lang w:eastAsia="zh-CN"/>
        </w:rPr>
        <w:t>新汶矿业集团有限责任公司</w:t>
      </w:r>
      <w:r>
        <w:rPr>
          <w:rFonts w:hint="eastAsia" w:ascii="仿宋_GB2312" w:hAnsi="黑体" w:eastAsia="仿宋_GB2312"/>
          <w:sz w:val="32"/>
          <w:szCs w:val="28"/>
          <w:lang w:eastAsia="zh-CN"/>
        </w:rPr>
        <w:t>，</w:t>
      </w:r>
      <w:r>
        <w:rPr>
          <w:rFonts w:hint="eastAsia" w:ascii="仿宋_GB2312" w:hAnsi="宋体" w:eastAsia="仿宋_GB2312"/>
          <w:sz w:val="32"/>
          <w:szCs w:val="32"/>
          <w:lang w:eastAsia="zh-CN"/>
        </w:rPr>
        <w:t>认缴出资</w:t>
      </w:r>
      <w:r>
        <w:rPr>
          <w:rFonts w:hint="eastAsia" w:ascii="仿宋_GB2312" w:eastAsia="仿宋_GB2312"/>
          <w:sz w:val="32"/>
          <w:szCs w:val="32"/>
          <w:lang w:eastAsia="zh-CN"/>
        </w:rPr>
        <w:t>16600</w:t>
      </w:r>
      <w:r>
        <w:rPr>
          <w:rFonts w:hint="eastAsia" w:ascii="仿宋_GB2312" w:hAnsi="宋体" w:eastAsia="仿宋_GB2312"/>
          <w:sz w:val="32"/>
          <w:szCs w:val="32"/>
          <w:lang w:eastAsia="zh-CN"/>
        </w:rPr>
        <w:t>万元</w:t>
      </w:r>
      <w:r>
        <w:rPr>
          <w:rFonts w:hint="eastAsia" w:ascii="仿宋_GB2312" w:eastAsia="仿宋_GB2312"/>
          <w:sz w:val="32"/>
          <w:szCs w:val="32"/>
          <w:lang w:eastAsia="zh-CN"/>
        </w:rPr>
        <w:t>,</w:t>
      </w:r>
      <w:r>
        <w:rPr>
          <w:rFonts w:hint="eastAsia" w:ascii="仿宋_GB2312" w:hAnsi="宋体" w:eastAsia="仿宋_GB2312"/>
          <w:sz w:val="32"/>
          <w:szCs w:val="32"/>
          <w:lang w:eastAsia="zh-CN"/>
        </w:rPr>
        <w:t>占公司注册资本的</w:t>
      </w:r>
      <w:r>
        <w:rPr>
          <w:rFonts w:hint="eastAsia" w:ascii="仿宋_GB2312" w:eastAsia="仿宋_GB2312"/>
          <w:sz w:val="32"/>
          <w:szCs w:val="32"/>
          <w:lang w:eastAsia="zh-CN"/>
        </w:rPr>
        <w:t>25</w:t>
      </w:r>
      <w:r>
        <w:rPr>
          <w:rFonts w:hint="eastAsia" w:ascii="仿宋_GB2312" w:hAnsi="宋体" w:eastAsia="仿宋_GB2312"/>
          <w:sz w:val="32"/>
          <w:szCs w:val="32"/>
          <w:lang w:eastAsia="zh-CN"/>
        </w:rPr>
        <w:t>％；</w:t>
      </w:r>
    </w:p>
    <w:p>
      <w:pPr>
        <w:spacing w:line="580" w:lineRule="exact"/>
        <w:ind w:firstLine="720" w:firstLineChars="225"/>
        <w:rPr>
          <w:rFonts w:ascii="仿宋" w:hAnsi="仿宋" w:eastAsia="仿宋" w:cs="仿宋"/>
          <w:sz w:val="32"/>
          <w:szCs w:val="32"/>
          <w:lang w:eastAsia="zh-CN"/>
        </w:rPr>
      </w:pPr>
      <w:r>
        <w:rPr>
          <w:rFonts w:hint="eastAsia" w:ascii="仿宋_GB2312" w:eastAsia="仿宋_GB2312"/>
          <w:sz w:val="32"/>
          <w:szCs w:val="32"/>
          <w:lang w:eastAsia="zh-CN"/>
        </w:rPr>
        <w:t>日照港股份有限公司</w:t>
      </w:r>
      <w:r>
        <w:rPr>
          <w:rFonts w:hint="eastAsia" w:ascii="仿宋_GB2312" w:hAnsi="黑体" w:eastAsia="仿宋_GB2312"/>
          <w:sz w:val="32"/>
          <w:szCs w:val="28"/>
          <w:lang w:eastAsia="zh-CN"/>
        </w:rPr>
        <w:t>，</w:t>
      </w:r>
      <w:r>
        <w:rPr>
          <w:rFonts w:hint="eastAsia" w:ascii="仿宋_GB2312" w:hAnsi="宋体" w:eastAsia="仿宋_GB2312"/>
          <w:sz w:val="32"/>
          <w:szCs w:val="32"/>
          <w:lang w:eastAsia="zh-CN"/>
        </w:rPr>
        <w:t>认缴出资</w:t>
      </w:r>
      <w:r>
        <w:rPr>
          <w:rFonts w:hint="eastAsia" w:ascii="仿宋_GB2312" w:eastAsia="仿宋_GB2312"/>
          <w:sz w:val="32"/>
          <w:szCs w:val="32"/>
          <w:lang w:eastAsia="zh-CN"/>
        </w:rPr>
        <w:t>15940</w:t>
      </w:r>
      <w:r>
        <w:rPr>
          <w:rFonts w:hint="eastAsia" w:ascii="仿宋_GB2312" w:hAnsi="宋体" w:eastAsia="仿宋_GB2312"/>
          <w:sz w:val="32"/>
          <w:szCs w:val="32"/>
          <w:lang w:eastAsia="zh-CN"/>
        </w:rPr>
        <w:t>万元</w:t>
      </w:r>
      <w:r>
        <w:rPr>
          <w:rFonts w:hint="eastAsia" w:ascii="仿宋_GB2312" w:eastAsia="仿宋_GB2312"/>
          <w:sz w:val="32"/>
          <w:szCs w:val="32"/>
          <w:lang w:eastAsia="zh-CN"/>
        </w:rPr>
        <w:t>,</w:t>
      </w:r>
      <w:r>
        <w:rPr>
          <w:rFonts w:hint="eastAsia" w:ascii="仿宋_GB2312" w:hAnsi="宋体" w:eastAsia="仿宋_GB2312"/>
          <w:sz w:val="32"/>
          <w:szCs w:val="32"/>
          <w:lang w:eastAsia="zh-CN"/>
        </w:rPr>
        <w:t>占公司注册资本的</w:t>
      </w:r>
      <w:r>
        <w:rPr>
          <w:rFonts w:hint="eastAsia" w:ascii="仿宋_GB2312" w:eastAsia="仿宋_GB2312"/>
          <w:sz w:val="32"/>
          <w:szCs w:val="32"/>
          <w:lang w:eastAsia="zh-CN"/>
        </w:rPr>
        <w:t>24</w:t>
      </w:r>
      <w:r>
        <w:rPr>
          <w:rFonts w:hint="eastAsia" w:ascii="仿宋_GB2312" w:hAnsi="宋体" w:eastAsia="仿宋_GB2312"/>
          <w:sz w:val="32"/>
          <w:szCs w:val="32"/>
          <w:lang w:eastAsia="zh-CN"/>
        </w:rPr>
        <w:t>％。</w:t>
      </w:r>
    </w:p>
    <w:p>
      <w:pPr>
        <w:ind w:firstLine="720" w:firstLineChars="225"/>
        <w:rPr>
          <w:rFonts w:ascii="黑体" w:hAnsi="黑体" w:eastAsia="黑体" w:cs="黑体"/>
          <w:sz w:val="32"/>
          <w:szCs w:val="32"/>
          <w:lang w:eastAsia="zh-CN"/>
        </w:rPr>
      </w:pPr>
      <w:r>
        <w:rPr>
          <w:rFonts w:hint="eastAsia" w:ascii="黑体" w:hAnsi="黑体" w:eastAsia="黑体" w:cs="黑体"/>
          <w:sz w:val="32"/>
          <w:szCs w:val="32"/>
          <w:lang w:eastAsia="zh-CN"/>
        </w:rPr>
        <w:t>（四）公司治理及主要人员信息</w:t>
      </w:r>
    </w:p>
    <w:p>
      <w:pPr>
        <w:ind w:firstLine="720" w:firstLineChars="225"/>
        <w:rPr>
          <w:rFonts w:ascii="黑体" w:hAnsi="黑体" w:eastAsia="黑体" w:cs="黑体"/>
          <w:sz w:val="32"/>
          <w:szCs w:val="32"/>
          <w:lang w:eastAsia="zh-CN"/>
        </w:rPr>
      </w:pPr>
    </w:p>
    <w:tbl>
      <w:tblPr>
        <w:tblStyle w:val="4"/>
        <w:tblW w:w="81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271"/>
        <w:gridCol w:w="2715"/>
        <w:gridCol w:w="3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8"/>
                <w:szCs w:val="28"/>
              </w:rPr>
            </w:pPr>
            <w:r>
              <w:rPr>
                <w:rFonts w:hint="eastAsia" w:ascii="仿宋" w:hAnsi="仿宋" w:eastAsia="仿宋" w:cs="仿宋"/>
                <w:b/>
                <w:sz w:val="28"/>
                <w:szCs w:val="28"/>
              </w:rPr>
              <w:t>董事会组成</w:t>
            </w: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8"/>
                <w:szCs w:val="28"/>
              </w:rPr>
            </w:pPr>
            <w:r>
              <w:rPr>
                <w:rFonts w:hint="eastAsia" w:ascii="仿宋" w:hAnsi="仿宋" w:eastAsia="仿宋" w:cs="仿宋"/>
                <w:b/>
                <w:sz w:val="28"/>
                <w:szCs w:val="28"/>
              </w:rPr>
              <w:t>姓名</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8"/>
                <w:szCs w:val="28"/>
              </w:rPr>
            </w:pPr>
            <w:r>
              <w:rPr>
                <w:rFonts w:hint="eastAsia" w:ascii="仿宋" w:hAnsi="仿宋" w:eastAsia="仿宋" w:cs="仿宋"/>
                <w:b/>
                <w:sz w:val="28"/>
                <w:szCs w:val="28"/>
              </w:rPr>
              <w:t>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王炎义</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董事长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陈肖鸿</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副董事长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张磊</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副董事长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张光岩</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val="en-US" w:eastAsia="zh-CN" w:bidi="en-US"/>
              </w:rPr>
            </w:pPr>
            <w:r>
              <w:rPr>
                <w:rFonts w:hint="eastAsia" w:ascii="仿宋" w:hAnsi="仿宋" w:eastAsia="仿宋" w:cs="仿宋"/>
                <w:sz w:val="28"/>
                <w:szCs w:val="28"/>
                <w:lang w:val="en-US" w:eastAsia="zh-CN"/>
              </w:rPr>
              <w:t>金新文</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val="en-US" w:eastAsia="en-US" w:bidi="en-US"/>
              </w:rPr>
            </w:pPr>
            <w:r>
              <w:rPr>
                <w:rFonts w:hint="eastAsia" w:ascii="仿宋" w:hAnsi="仿宋" w:eastAsia="仿宋" w:cs="仿宋"/>
                <w:sz w:val="28"/>
                <w:szCs w:val="28"/>
              </w:rPr>
              <w:t>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于世玮</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职工董事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8"/>
                <w:szCs w:val="28"/>
              </w:rPr>
            </w:pPr>
            <w:r>
              <w:rPr>
                <w:rFonts w:hint="eastAsia" w:ascii="仿宋" w:hAnsi="仿宋" w:eastAsia="仿宋" w:cs="仿宋"/>
                <w:b/>
                <w:sz w:val="28"/>
                <w:szCs w:val="28"/>
              </w:rPr>
              <w:t>监事会组成</w:t>
            </w: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8"/>
                <w:szCs w:val="28"/>
              </w:rPr>
            </w:pPr>
            <w:r>
              <w:rPr>
                <w:rFonts w:hint="eastAsia" w:ascii="仿宋" w:hAnsi="仿宋" w:eastAsia="仿宋" w:cs="仿宋"/>
                <w:b/>
                <w:sz w:val="28"/>
                <w:szCs w:val="28"/>
              </w:rPr>
              <w:t>姓名</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8"/>
                <w:szCs w:val="28"/>
              </w:rPr>
            </w:pPr>
            <w:r>
              <w:rPr>
                <w:rFonts w:hint="eastAsia" w:ascii="仿宋" w:hAnsi="仿宋" w:eastAsia="仿宋" w:cs="仿宋"/>
                <w:b/>
                <w:sz w:val="28"/>
                <w:szCs w:val="28"/>
              </w:rPr>
              <w:t>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冯慧</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监事会主席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袁京廷</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刘鲁伟</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val="en-US" w:eastAsia="en-US" w:bidi="en-US"/>
              </w:rPr>
            </w:pPr>
            <w:r>
              <w:rPr>
                <w:rFonts w:hint="eastAsia" w:ascii="仿宋" w:hAnsi="仿宋" w:eastAsia="仿宋" w:cs="仿宋"/>
                <w:sz w:val="28"/>
                <w:szCs w:val="28"/>
              </w:rPr>
              <w:t>郭信英</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val="en-US" w:eastAsia="en-US" w:bidi="en-US"/>
              </w:rPr>
            </w:pPr>
            <w:r>
              <w:rPr>
                <w:rFonts w:hint="eastAsia" w:ascii="仿宋" w:hAnsi="仿宋" w:eastAsia="仿宋" w:cs="仿宋"/>
                <w:sz w:val="28"/>
                <w:szCs w:val="28"/>
              </w:rPr>
              <w:t>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董春千</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职工监事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卢祥龙</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职工监事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8"/>
                <w:szCs w:val="28"/>
              </w:rPr>
            </w:pPr>
            <w:r>
              <w:rPr>
                <w:rFonts w:hint="eastAsia" w:ascii="仿宋" w:hAnsi="仿宋" w:eastAsia="仿宋" w:cs="仿宋"/>
                <w:b/>
                <w:sz w:val="28"/>
                <w:szCs w:val="28"/>
              </w:rPr>
              <w:t>经理层组成</w:t>
            </w: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8"/>
                <w:szCs w:val="28"/>
              </w:rPr>
            </w:pPr>
            <w:r>
              <w:rPr>
                <w:rFonts w:hint="eastAsia" w:ascii="仿宋" w:hAnsi="仿宋" w:eastAsia="仿宋" w:cs="仿宋"/>
                <w:b/>
                <w:sz w:val="28"/>
                <w:szCs w:val="28"/>
              </w:rPr>
              <w:t>姓名</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sz w:val="28"/>
                <w:szCs w:val="28"/>
              </w:rPr>
            </w:pPr>
            <w:r>
              <w:rPr>
                <w:rFonts w:hint="eastAsia" w:ascii="仿宋" w:hAnsi="仿宋" w:eastAsia="仿宋" w:cs="仿宋"/>
                <w:b/>
                <w:sz w:val="28"/>
                <w:szCs w:val="28"/>
              </w:rPr>
              <w:t>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王炎义</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总经理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于世玮</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副总经理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p>
        </w:tc>
      </w:tr>
    </w:tbl>
    <w:p>
      <w:pPr>
        <w:rPr>
          <w:sz w:val="32"/>
          <w:szCs w:val="32"/>
        </w:rPr>
      </w:pPr>
    </w:p>
    <w:p>
      <w:pPr>
        <w:spacing w:line="560" w:lineRule="exact"/>
        <w:ind w:firstLine="640" w:firstLineChars="200"/>
        <w:rPr>
          <w:rFonts w:ascii="等线" w:hAnsi="等线" w:eastAsia="等线" w:cs="宋体"/>
          <w:b/>
          <w:bCs/>
          <w:sz w:val="32"/>
          <w:szCs w:val="32"/>
          <w:lang w:eastAsia="zh-CN" w:bidi="ar-SA"/>
        </w:rPr>
      </w:pPr>
      <w:r>
        <w:rPr>
          <w:rFonts w:hint="eastAsia" w:ascii="等线" w:hAnsi="等线" w:eastAsia="等线" w:cs="宋体"/>
          <w:b/>
          <w:bCs/>
          <w:sz w:val="32"/>
          <w:szCs w:val="32"/>
          <w:lang w:eastAsia="zh-CN" w:bidi="ar-SA"/>
        </w:rPr>
        <w:t>二、</w:t>
      </w:r>
      <w:r>
        <w:rPr>
          <w:rFonts w:hint="eastAsia" w:ascii="黑体" w:hAnsi="黑体" w:eastAsia="黑体" w:cs="黑体"/>
          <w:sz w:val="32"/>
          <w:szCs w:val="32"/>
          <w:lang w:eastAsia="zh-CN"/>
        </w:rPr>
        <w:t>主要会计数据和财务指标情况</w:t>
      </w:r>
    </w:p>
    <w:tbl>
      <w:tblPr>
        <w:tblStyle w:val="4"/>
        <w:tblW w:w="5809" w:type="dxa"/>
        <w:jc w:val="center"/>
        <w:tblLayout w:type="fixed"/>
        <w:tblCellMar>
          <w:top w:w="0" w:type="dxa"/>
          <w:left w:w="108" w:type="dxa"/>
          <w:bottom w:w="0" w:type="dxa"/>
          <w:right w:w="108" w:type="dxa"/>
        </w:tblCellMar>
      </w:tblPr>
      <w:tblGrid>
        <w:gridCol w:w="2914"/>
        <w:gridCol w:w="2895"/>
      </w:tblGrid>
      <w:tr>
        <w:tblPrEx>
          <w:tblCellMar>
            <w:top w:w="0" w:type="dxa"/>
            <w:left w:w="108" w:type="dxa"/>
            <w:bottom w:w="0" w:type="dxa"/>
            <w:right w:w="108" w:type="dxa"/>
          </w:tblCellMar>
        </w:tblPrEx>
        <w:trPr>
          <w:trHeight w:val="440" w:hRule="atLeast"/>
          <w:jc w:val="center"/>
        </w:trPr>
        <w:tc>
          <w:tcPr>
            <w:tcW w:w="2914" w:type="dxa"/>
            <w:tcBorders>
              <w:top w:val="nil"/>
              <w:left w:val="nil"/>
              <w:bottom w:val="nil"/>
              <w:right w:val="nil"/>
            </w:tcBorders>
            <w:shd w:val="clear" w:color="auto" w:fill="auto"/>
            <w:noWrap/>
            <w:vAlign w:val="center"/>
          </w:tcPr>
          <w:p>
            <w:pPr>
              <w:widowControl/>
              <w:jc w:val="both"/>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 xml:space="preserve"> </w:t>
            </w:r>
          </w:p>
        </w:tc>
        <w:tc>
          <w:tcPr>
            <w:tcW w:w="2895" w:type="dxa"/>
            <w:tcBorders>
              <w:top w:val="nil"/>
              <w:left w:val="nil"/>
              <w:bottom w:val="nil"/>
              <w:right w:val="nil"/>
            </w:tcBorders>
            <w:shd w:val="clear" w:color="auto" w:fill="auto"/>
            <w:noWrap/>
            <w:vAlign w:val="center"/>
          </w:tcPr>
          <w:p>
            <w:pPr>
              <w:widowControl/>
              <w:jc w:val="both"/>
              <w:rPr>
                <w:rFonts w:ascii="仿宋_GB2312" w:hAnsi="等线" w:eastAsia="仿宋_GB2312" w:cs="宋体"/>
                <w:sz w:val="21"/>
                <w:szCs w:val="21"/>
                <w:lang w:eastAsia="zh-CN" w:bidi="ar-SA"/>
              </w:rPr>
            </w:pPr>
          </w:p>
        </w:tc>
      </w:tr>
      <w:tr>
        <w:tblPrEx>
          <w:tblCellMar>
            <w:top w:w="0" w:type="dxa"/>
            <w:left w:w="108" w:type="dxa"/>
            <w:bottom w:w="0" w:type="dxa"/>
            <w:right w:w="108" w:type="dxa"/>
          </w:tblCellMar>
        </w:tblPrEx>
        <w:trPr>
          <w:trHeight w:val="440" w:hRule="atLeast"/>
          <w:jc w:val="center"/>
        </w:trPr>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sz w:val="21"/>
                <w:szCs w:val="21"/>
                <w:lang w:eastAsia="zh-CN" w:bidi="ar-SA"/>
              </w:rPr>
            </w:pPr>
            <w:r>
              <w:rPr>
                <w:rFonts w:hint="eastAsia" w:ascii="仿宋_GB2312" w:hAnsi="等线" w:eastAsia="仿宋_GB2312" w:cs="宋体"/>
                <w:b/>
                <w:bCs/>
                <w:sz w:val="21"/>
                <w:szCs w:val="21"/>
                <w:lang w:eastAsia="zh-CN" w:bidi="ar-SA"/>
              </w:rPr>
              <w:t>项目</w:t>
            </w:r>
          </w:p>
        </w:tc>
        <w:tc>
          <w:tcPr>
            <w:tcW w:w="2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sz w:val="21"/>
                <w:szCs w:val="21"/>
                <w:lang w:eastAsia="zh-CN" w:bidi="ar-SA"/>
              </w:rPr>
            </w:pPr>
            <w:r>
              <w:rPr>
                <w:rFonts w:hint="eastAsia" w:ascii="仿宋_GB2312" w:hAnsi="等线" w:eastAsia="仿宋_GB2312" w:cs="宋体"/>
                <w:b/>
                <w:bCs/>
                <w:sz w:val="21"/>
                <w:szCs w:val="21"/>
                <w:lang w:eastAsia="zh-CN" w:bidi="ar-SA"/>
              </w:rPr>
              <w:t>202</w:t>
            </w:r>
            <w:r>
              <w:rPr>
                <w:rFonts w:hint="eastAsia" w:ascii="仿宋_GB2312" w:hAnsi="等线" w:eastAsia="仿宋_GB2312" w:cs="宋体"/>
                <w:b/>
                <w:bCs/>
                <w:sz w:val="21"/>
                <w:szCs w:val="21"/>
                <w:lang w:val="en-US" w:eastAsia="zh-CN" w:bidi="ar-SA"/>
              </w:rPr>
              <w:t>3</w:t>
            </w:r>
            <w:r>
              <w:rPr>
                <w:rFonts w:hint="eastAsia" w:ascii="仿宋_GB2312" w:hAnsi="等线" w:eastAsia="仿宋_GB2312" w:cs="宋体"/>
                <w:b/>
                <w:bCs/>
                <w:sz w:val="21"/>
                <w:szCs w:val="21"/>
                <w:lang w:eastAsia="zh-CN" w:bidi="ar-SA"/>
              </w:rPr>
              <w:t>年情况</w:t>
            </w: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 xml:space="preserve">营业收入 </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r>
              <w:rPr>
                <w:rFonts w:hint="eastAsia" w:ascii="等线" w:hAnsi="等线" w:eastAsia="等线" w:cs="等线"/>
                <w:lang w:eastAsia="zh-CN" w:bidi="ar"/>
              </w:rPr>
              <w:t>7529</w:t>
            </w: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营业成本</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r>
              <w:rPr>
                <w:rFonts w:hint="eastAsia" w:ascii="等线" w:hAnsi="等线" w:eastAsia="等线" w:cs="等线"/>
                <w:lang w:eastAsia="zh-CN" w:bidi="ar"/>
              </w:rPr>
              <w:t>10279</w:t>
            </w: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销售费用</w:t>
            </w:r>
          </w:p>
        </w:tc>
        <w:tc>
          <w:tcPr>
            <w:tcW w:w="2895" w:type="dxa"/>
            <w:tcBorders>
              <w:top w:val="nil"/>
              <w:left w:val="nil"/>
              <w:bottom w:val="single" w:color="auto" w:sz="4" w:space="0"/>
              <w:right w:val="single" w:color="auto" w:sz="4" w:space="0"/>
            </w:tcBorders>
            <w:shd w:val="clear" w:color="auto" w:fill="auto"/>
            <w:vAlign w:val="center"/>
          </w:tcPr>
          <w:p>
            <w:pPr>
              <w:jc w:val="center"/>
              <w:rPr>
                <w:rFonts w:ascii="仿宋_GB2312" w:hAnsi="等线" w:eastAsia="仿宋_GB2312" w:cs="宋体"/>
                <w:sz w:val="21"/>
                <w:szCs w:val="21"/>
                <w:lang w:eastAsia="zh-CN" w:bidi="ar-SA"/>
              </w:rPr>
            </w:pP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管理费用</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财务费用</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r>
              <w:rPr>
                <w:rFonts w:hint="eastAsia" w:ascii="等线" w:hAnsi="等线" w:eastAsia="等线" w:cs="等线"/>
                <w:lang w:eastAsia="zh-CN" w:bidi="ar"/>
              </w:rPr>
              <w:t>3122</w:t>
            </w: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营业利润</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r>
              <w:rPr>
                <w:rFonts w:hint="eastAsia" w:ascii="等线" w:hAnsi="等线" w:eastAsia="等线" w:cs="等线"/>
                <w:lang w:eastAsia="zh-CN" w:bidi="ar"/>
              </w:rPr>
              <w:t>-2677</w:t>
            </w: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利润总额</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r>
              <w:rPr>
                <w:rFonts w:hint="eastAsia" w:ascii="等线" w:hAnsi="等线" w:eastAsia="等线" w:cs="等线"/>
                <w:lang w:eastAsia="zh-CN" w:bidi="ar"/>
              </w:rPr>
              <w:t>-2677</w:t>
            </w: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净利润</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r>
              <w:rPr>
                <w:rFonts w:hint="eastAsia" w:ascii="等线" w:hAnsi="等线" w:eastAsia="等线" w:cs="等线"/>
                <w:lang w:eastAsia="zh-CN" w:bidi="ar"/>
              </w:rPr>
              <w:t>-2677</w:t>
            </w:r>
          </w:p>
        </w:tc>
      </w:tr>
      <w:tr>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营业利润率</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r>
              <w:rPr>
                <w:rFonts w:hint="eastAsia" w:ascii="等线" w:hAnsi="等线" w:eastAsia="等线" w:cs="等线"/>
                <w:lang w:eastAsia="zh-CN" w:bidi="ar"/>
              </w:rPr>
              <w:t>-3</w:t>
            </w:r>
            <w:r>
              <w:rPr>
                <w:rFonts w:hint="eastAsia" w:ascii="等线" w:hAnsi="等线" w:eastAsia="等线" w:cs="等线"/>
                <w:lang w:val="en-US" w:eastAsia="zh-CN" w:bidi="ar"/>
              </w:rPr>
              <w:t>5</w:t>
            </w:r>
            <w:r>
              <w:rPr>
                <w:rFonts w:hint="eastAsia" w:ascii="等线" w:hAnsi="等线" w:eastAsia="等线" w:cs="等线"/>
                <w:lang w:eastAsia="zh-CN" w:bidi="ar"/>
              </w:rPr>
              <w:t>.6</w:t>
            </w:r>
            <w:r>
              <w:rPr>
                <w:rFonts w:hint="eastAsia" w:ascii="等线" w:hAnsi="等线" w:eastAsia="等线" w:cs="等线"/>
                <w:lang w:val="en-US" w:eastAsia="zh-CN" w:bidi="ar"/>
              </w:rPr>
              <w:t>0</w:t>
            </w:r>
            <w:r>
              <w:rPr>
                <w:rFonts w:hint="eastAsia" w:ascii="等线" w:hAnsi="等线" w:eastAsia="等线" w:cs="等线"/>
                <w:lang w:eastAsia="zh-CN" w:bidi="ar"/>
              </w:rPr>
              <w:t>%</w:t>
            </w: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净资产收益率</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r>
              <w:rPr>
                <w:rFonts w:hint="eastAsia" w:ascii="等线" w:hAnsi="等线" w:eastAsia="等线" w:cs="等线"/>
                <w:lang w:eastAsia="zh-CN" w:bidi="ar"/>
              </w:rPr>
              <w:t>-</w:t>
            </w:r>
            <w:r>
              <w:rPr>
                <w:rFonts w:hint="eastAsia" w:ascii="等线" w:hAnsi="等线" w:eastAsia="等线" w:cs="等线"/>
                <w:lang w:val="en-US" w:eastAsia="zh-CN" w:bidi="ar"/>
              </w:rPr>
              <w:t>23</w:t>
            </w:r>
            <w:r>
              <w:rPr>
                <w:rFonts w:hint="eastAsia" w:ascii="等线" w:hAnsi="等线" w:eastAsia="等线" w:cs="等线"/>
                <w:lang w:eastAsia="zh-CN" w:bidi="ar"/>
              </w:rPr>
              <w:t>.8</w:t>
            </w:r>
            <w:r>
              <w:rPr>
                <w:rFonts w:hint="eastAsia" w:ascii="等线" w:hAnsi="等线" w:eastAsia="等线" w:cs="等线"/>
                <w:lang w:val="en-US" w:eastAsia="zh-CN" w:bidi="ar"/>
              </w:rPr>
              <w:t>0</w:t>
            </w:r>
            <w:r>
              <w:rPr>
                <w:rFonts w:hint="eastAsia" w:ascii="等线" w:hAnsi="等线" w:eastAsia="等线" w:cs="等线"/>
                <w:lang w:eastAsia="zh-CN" w:bidi="ar"/>
              </w:rPr>
              <w:t>%</w:t>
            </w: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已交税费总额</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等线" w:hAnsi="等线" w:eastAsia="等线" w:cs="等线"/>
                <w:lang w:val="en-US" w:eastAsia="zh-CN" w:bidi="ar"/>
              </w:rPr>
            </w:pPr>
            <w:r>
              <w:rPr>
                <w:rFonts w:hint="eastAsia" w:ascii="等线" w:hAnsi="等线" w:eastAsia="等线" w:cs="等线"/>
                <w:lang w:val="en-US" w:eastAsia="zh-CN" w:bidi="ar"/>
              </w:rPr>
              <w:t>496</w:t>
            </w:r>
          </w:p>
        </w:tc>
      </w:tr>
      <w:tr>
        <w:tblPrEx>
          <w:tblCellMar>
            <w:top w:w="0" w:type="dxa"/>
            <w:left w:w="108" w:type="dxa"/>
            <w:bottom w:w="0" w:type="dxa"/>
            <w:right w:w="108" w:type="dxa"/>
          </w:tblCellMar>
        </w:tblPrEx>
        <w:trPr>
          <w:trHeight w:val="440" w:hRule="atLeast"/>
          <w:jc w:val="center"/>
        </w:trPr>
        <w:tc>
          <w:tcPr>
            <w:tcW w:w="2914" w:type="dxa"/>
            <w:tcBorders>
              <w:top w:val="nil"/>
              <w:left w:val="nil"/>
              <w:bottom w:val="nil"/>
              <w:right w:val="nil"/>
            </w:tcBorders>
            <w:shd w:val="clear" w:color="auto" w:fill="auto"/>
            <w:noWrap/>
            <w:vAlign w:val="center"/>
          </w:tcPr>
          <w:p>
            <w:pPr>
              <w:widowControl/>
              <w:jc w:val="center"/>
              <w:rPr>
                <w:rFonts w:ascii="等线" w:hAnsi="等线" w:eastAsia="等线" w:cs="宋体"/>
                <w:lang w:eastAsia="zh-CN" w:bidi="ar-SA"/>
              </w:rPr>
            </w:pPr>
            <w:r>
              <w:rPr>
                <w:rFonts w:hint="eastAsia" w:ascii="等线" w:hAnsi="等线" w:eastAsia="等线" w:cs="宋体"/>
                <w:lang w:eastAsia="zh-CN" w:bidi="ar-SA"/>
              </w:rPr>
              <w:t xml:space="preserve"> </w:t>
            </w:r>
          </w:p>
        </w:tc>
        <w:tc>
          <w:tcPr>
            <w:tcW w:w="2895" w:type="dxa"/>
            <w:tcBorders>
              <w:top w:val="nil"/>
              <w:left w:val="nil"/>
              <w:bottom w:val="nil"/>
              <w:right w:val="nil"/>
            </w:tcBorders>
            <w:shd w:val="clear" w:color="auto" w:fill="auto"/>
            <w:noWrap/>
            <w:vAlign w:val="center"/>
          </w:tcPr>
          <w:p>
            <w:pPr>
              <w:widowControl/>
              <w:jc w:val="center"/>
              <w:rPr>
                <w:rFonts w:ascii="等线" w:hAnsi="等线" w:eastAsia="等线" w:cs="宋体"/>
                <w:lang w:eastAsia="zh-CN" w:bidi="ar-SA"/>
              </w:rPr>
            </w:pPr>
          </w:p>
        </w:tc>
      </w:tr>
      <w:tr>
        <w:tblPrEx>
          <w:tblCellMar>
            <w:top w:w="0" w:type="dxa"/>
            <w:left w:w="108" w:type="dxa"/>
            <w:bottom w:w="0" w:type="dxa"/>
            <w:right w:w="108" w:type="dxa"/>
          </w:tblCellMar>
        </w:tblPrEx>
        <w:trPr>
          <w:trHeight w:val="440" w:hRule="atLeast"/>
          <w:jc w:val="center"/>
        </w:trPr>
        <w:tc>
          <w:tcPr>
            <w:tcW w:w="2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sz w:val="21"/>
                <w:szCs w:val="21"/>
                <w:lang w:eastAsia="zh-CN" w:bidi="ar-SA"/>
              </w:rPr>
            </w:pPr>
            <w:r>
              <w:rPr>
                <w:rFonts w:hint="eastAsia" w:ascii="仿宋_GB2312" w:hAnsi="等线" w:eastAsia="仿宋_GB2312" w:cs="宋体"/>
                <w:b/>
                <w:bCs/>
                <w:sz w:val="21"/>
                <w:szCs w:val="21"/>
                <w:lang w:eastAsia="zh-CN" w:bidi="ar-SA"/>
              </w:rPr>
              <w:t>项目</w:t>
            </w:r>
          </w:p>
        </w:tc>
        <w:tc>
          <w:tcPr>
            <w:tcW w:w="2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sz w:val="21"/>
                <w:szCs w:val="21"/>
                <w:lang w:eastAsia="zh-CN" w:bidi="ar-SA"/>
              </w:rPr>
            </w:pPr>
            <w:r>
              <w:rPr>
                <w:rFonts w:hint="eastAsia" w:ascii="仿宋_GB2312" w:hAnsi="等线" w:eastAsia="仿宋_GB2312" w:cs="宋体"/>
                <w:b/>
                <w:bCs/>
                <w:sz w:val="21"/>
                <w:szCs w:val="21"/>
                <w:lang w:eastAsia="zh-CN" w:bidi="ar-SA"/>
              </w:rPr>
              <w:t>期末余额</w:t>
            </w: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资产总额</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r>
              <w:rPr>
                <w:rFonts w:hint="eastAsia" w:ascii="等线" w:hAnsi="等线" w:eastAsia="等线" w:cs="等线"/>
                <w:lang w:eastAsia="zh-CN" w:bidi="ar"/>
              </w:rPr>
              <w:t>112243</w:t>
            </w: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负债总额</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r>
              <w:rPr>
                <w:rFonts w:hint="eastAsia" w:ascii="等线" w:hAnsi="等线" w:eastAsia="等线" w:cs="等线"/>
                <w:lang w:eastAsia="zh-CN" w:bidi="ar"/>
              </w:rPr>
              <w:t>98954</w:t>
            </w:r>
          </w:p>
        </w:tc>
      </w:tr>
      <w:tr>
        <w:tblPrEx>
          <w:tblCellMar>
            <w:top w:w="0" w:type="dxa"/>
            <w:left w:w="108" w:type="dxa"/>
            <w:bottom w:w="0" w:type="dxa"/>
            <w:right w:w="108" w:type="dxa"/>
          </w:tblCellMar>
        </w:tblPrEx>
        <w:trPr>
          <w:trHeight w:val="440" w:hRule="atLeast"/>
          <w:jc w:val="center"/>
        </w:trPr>
        <w:tc>
          <w:tcPr>
            <w:tcW w:w="29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sz w:val="21"/>
                <w:szCs w:val="21"/>
                <w:lang w:eastAsia="zh-CN" w:bidi="ar-SA"/>
              </w:rPr>
            </w:pPr>
            <w:r>
              <w:rPr>
                <w:rFonts w:hint="eastAsia" w:ascii="仿宋_GB2312" w:hAnsi="等线" w:eastAsia="仿宋_GB2312" w:cs="宋体"/>
                <w:sz w:val="21"/>
                <w:szCs w:val="21"/>
                <w:lang w:eastAsia="zh-CN" w:bidi="ar-SA"/>
              </w:rPr>
              <w:t>所有者权益总额</w:t>
            </w:r>
          </w:p>
        </w:tc>
        <w:tc>
          <w:tcPr>
            <w:tcW w:w="28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s="宋体"/>
                <w:sz w:val="21"/>
                <w:szCs w:val="21"/>
                <w:lang w:eastAsia="zh-CN" w:bidi="ar-SA"/>
              </w:rPr>
            </w:pPr>
            <w:r>
              <w:rPr>
                <w:rFonts w:hint="eastAsia" w:ascii="等线" w:hAnsi="等线" w:eastAsia="等线" w:cs="等线"/>
                <w:lang w:eastAsia="zh-CN" w:bidi="ar"/>
              </w:rPr>
              <w:t>13289</w:t>
            </w:r>
          </w:p>
        </w:tc>
      </w:tr>
    </w:tbl>
    <w:p>
      <w:pPr>
        <w:autoSpaceDE w:val="0"/>
        <w:autoSpaceDN w:val="0"/>
        <w:adjustRightInd w:val="0"/>
        <w:snapToGrid w:val="0"/>
        <w:spacing w:line="540" w:lineRule="exact"/>
        <w:ind w:right="14" w:rightChars="6" w:firstLine="640" w:firstLineChars="200"/>
        <w:rPr>
          <w:rFonts w:hint="eastAsia" w:ascii="黑体" w:hAnsi="黑体" w:eastAsia="黑体" w:cs="黑体"/>
          <w:sz w:val="32"/>
          <w:szCs w:val="32"/>
          <w:lang w:eastAsia="zh-CN"/>
        </w:rPr>
      </w:pPr>
    </w:p>
    <w:p>
      <w:pPr>
        <w:autoSpaceDE w:val="0"/>
        <w:autoSpaceDN w:val="0"/>
        <w:adjustRightInd w:val="0"/>
        <w:snapToGrid w:val="0"/>
        <w:spacing w:line="540" w:lineRule="exact"/>
        <w:ind w:right="14" w:rightChars="6"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三、董事会报告摘要</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是东平铁路有限责任公司（以下简称公司）艰难发展的一年。董事会认真履行《公司法》和《公司章程》所赋予的职责，忠实执行股东会决议，诚实守信，勤勉尽职，以科学、严谨、审慎、客观的工作态度，积极参与各项重大事项的决策，努力维护公司及全体股东的合法权益，有力的保障了公司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年各项工作目标的顺利实现。</w:t>
      </w:r>
    </w:p>
    <w:p>
      <w:pPr>
        <w:spacing w:line="600" w:lineRule="exact"/>
        <w:ind w:firstLine="640" w:firstLineChars="200"/>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（一）规范公司法人治理决策。</w:t>
      </w:r>
      <w:r>
        <w:rPr>
          <w:rFonts w:hint="eastAsia" w:ascii="仿宋_GB2312" w:hAnsi="仿宋_GB2312" w:eastAsia="仿宋_GB2312" w:cs="仿宋_GB2312"/>
          <w:sz w:val="32"/>
          <w:szCs w:val="32"/>
          <w:lang w:eastAsia="zh-CN"/>
        </w:rPr>
        <w:t>组织召开了东平铁路有限责任公司202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年股东会、董事会、监事会。</w:t>
      </w:r>
      <w:r>
        <w:rPr>
          <w:rFonts w:hint="eastAsia" w:ascii="仿宋_GB2312" w:hAnsi="仿宋_GB2312" w:eastAsia="仿宋_GB2312" w:cs="仿宋_GB2312"/>
          <w:bCs/>
          <w:sz w:val="32"/>
          <w:szCs w:val="32"/>
          <w:lang w:eastAsia="zh-CN"/>
        </w:rPr>
        <w:t>根据工作实际，组织召开2次临时股东会、董事会，重大事项股东会决策，确保相关经营工作及时推进。</w:t>
      </w:r>
      <w:r>
        <w:rPr>
          <w:rFonts w:hint="eastAsia" w:ascii="仿宋_GB2312" w:hAnsi="仿宋_GB2312" w:eastAsia="仿宋_GB2312" w:cs="仿宋_GB2312"/>
          <w:bCs/>
          <w:sz w:val="32"/>
          <w:szCs w:val="32"/>
          <w:lang w:val="en-US" w:eastAsia="zh-CN"/>
        </w:rPr>
        <w:t>选举补充了职工董事、职工监事。</w:t>
      </w:r>
      <w:r>
        <w:rPr>
          <w:rFonts w:hint="eastAsia" w:ascii="仿宋_GB2312" w:hAnsi="仿宋_GB2312" w:eastAsia="仿宋_GB2312" w:cs="仿宋_GB2312"/>
          <w:sz w:val="32"/>
          <w:szCs w:val="32"/>
          <w:lang w:eastAsia="zh-CN"/>
        </w:rPr>
        <w:t>各位董事勤勉尽责，认真履行董事义务，充分发挥专业技能和决策能力，在推进董事会自身建设、制定公司发展战略、完善公司各项管理制度等多项工作中发挥了重要作用。</w:t>
      </w:r>
    </w:p>
    <w:p>
      <w:pPr>
        <w:spacing w:line="600" w:lineRule="exact"/>
        <w:jc w:val="both"/>
        <w:rPr>
          <w:rFonts w:ascii="仿宋_GB2312" w:hAnsi="仿宋_GB2312" w:eastAsia="仿宋_GB2312" w:cs="仿宋_GB2312"/>
          <w:bCs/>
          <w:sz w:val="32"/>
          <w:szCs w:val="32"/>
          <w:lang w:eastAsia="zh-CN"/>
        </w:rPr>
      </w:pPr>
      <w:r>
        <w:rPr>
          <w:rFonts w:hint="eastAsia" w:ascii="仿宋_GB2312" w:eastAsia="仿宋_GB2312"/>
          <w:b/>
          <w:bCs/>
          <w:sz w:val="32"/>
          <w:szCs w:val="32"/>
          <w:lang w:eastAsia="zh-CN"/>
        </w:rPr>
        <w:t xml:space="preserve">  </w:t>
      </w:r>
      <w:r>
        <w:rPr>
          <w:rFonts w:hint="eastAsia" w:ascii="楷体_GB2312" w:hAnsi="楷体_GB2312" w:eastAsia="楷体_GB2312" w:cs="楷体_GB2312"/>
          <w:sz w:val="32"/>
          <w:szCs w:val="32"/>
          <w:lang w:eastAsia="zh-CN"/>
        </w:rPr>
        <w:t xml:space="preserve">  （</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kern w:val="1"/>
          <w:sz w:val="32"/>
          <w:szCs w:val="32"/>
          <w:lang w:eastAsia="zh-CN"/>
        </w:rPr>
        <w:t>落实委托运输监管职责</w:t>
      </w:r>
      <w:r>
        <w:rPr>
          <w:rFonts w:hint="eastAsia" w:ascii="仿宋_GB2312" w:hAnsi="仿宋_GB2312" w:eastAsia="仿宋_GB2312" w:cs="仿宋_GB2312"/>
          <w:sz w:val="32"/>
          <w:szCs w:val="32"/>
          <w:lang w:eastAsia="zh-CN"/>
        </w:rPr>
        <w:t>。</w:t>
      </w:r>
      <w:r>
        <w:rPr>
          <w:rFonts w:hint="eastAsia" w:ascii="仿宋_GB2312" w:eastAsia="仿宋_GB2312"/>
          <w:bCs/>
          <w:sz w:val="32"/>
          <w:szCs w:val="32"/>
        </w:rPr>
        <w:t>一是严格实行安全隐患库、安全风险库“双重预防机制”，并根据设备变化情况</w:t>
      </w:r>
      <w:r>
        <w:rPr>
          <w:rFonts w:hint="eastAsia" w:ascii="仿宋_GB2312" w:eastAsia="仿宋_GB2312"/>
          <w:bCs/>
          <w:sz w:val="32"/>
          <w:szCs w:val="32"/>
          <w:lang w:val="en-US" w:eastAsia="zh-CN"/>
        </w:rPr>
        <w:t>动态</w:t>
      </w:r>
      <w:r>
        <w:rPr>
          <w:rFonts w:hint="eastAsia" w:ascii="仿宋_GB2312" w:eastAsia="仿宋_GB2312"/>
          <w:bCs/>
          <w:sz w:val="32"/>
          <w:szCs w:val="32"/>
        </w:rPr>
        <w:t>更新。二是对全线的高路基、深路堑、公跨铁立交桥、公路与铁路并行段防护栅栏排定检查计划，定期进行现场巡查，留存影像记录。三是开展防洪防汛专项检查。对东平铁路7处易发生水害地段进行现场检查。四是我公司按合同约定聘请山东地方铁路学会专家组对东平铁路作运输、安全技术诊断检查，并对诊断报告中提出的问题进行跟踪整改。五是加强交通、消防、人身安全管理。对车辆严格落实派车及车辆维修保养审批制度，对办公场所、员工宿舍消防安全进行定期检查，对检查发现的8条问题督促整改并纳入考核。利用交班会、学习会等形式加强对员工的教育提醒，增强自我防护意识。</w:t>
      </w:r>
    </w:p>
    <w:p>
      <w:pPr>
        <w:spacing w:line="600" w:lineRule="exact"/>
        <w:ind w:firstLine="640" w:firstLineChars="200"/>
        <w:jc w:val="both"/>
        <w:rPr>
          <w:rFonts w:ascii="仿宋_GB2312" w:hAnsi="仿宋_GB2312" w:eastAsia="仿宋_GB2312" w:cs="仿宋_GB2312"/>
          <w:bCs/>
          <w:sz w:val="32"/>
          <w:szCs w:val="32"/>
          <w:lang w:eastAsia="zh-CN"/>
        </w:rPr>
      </w:pPr>
      <w:r>
        <w:rPr>
          <w:rFonts w:hint="eastAsia" w:ascii="楷体_GB2312" w:hAnsi="楷体_GB2312" w:eastAsia="楷体_GB2312" w:cs="楷体_GB2312"/>
          <w:kern w:val="1"/>
          <w:sz w:val="32"/>
          <w:szCs w:val="32"/>
          <w:lang w:eastAsia="zh-CN"/>
        </w:rPr>
        <w:t>（</w:t>
      </w:r>
      <w:r>
        <w:rPr>
          <w:rFonts w:hint="eastAsia" w:ascii="楷体_GB2312" w:hAnsi="楷体_GB2312" w:eastAsia="楷体_GB2312" w:cs="楷体_GB2312"/>
          <w:kern w:val="1"/>
          <w:sz w:val="32"/>
          <w:szCs w:val="32"/>
          <w:lang w:val="en-US" w:eastAsia="zh-CN"/>
        </w:rPr>
        <w:t>三</w:t>
      </w:r>
      <w:r>
        <w:rPr>
          <w:rFonts w:hint="eastAsia" w:ascii="楷体_GB2312" w:hAnsi="楷体_GB2312" w:eastAsia="楷体_GB2312" w:cs="楷体_GB2312"/>
          <w:kern w:val="1"/>
          <w:sz w:val="32"/>
          <w:szCs w:val="32"/>
          <w:lang w:eastAsia="zh-CN"/>
        </w:rPr>
        <w:t>）规范经营管理工作。</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Cs/>
          <w:sz w:val="32"/>
          <w:szCs w:val="32"/>
        </w:rPr>
        <w:t>推进公司工商变更工作。</w:t>
      </w:r>
      <w:r>
        <w:rPr>
          <w:rFonts w:hint="eastAsia" w:ascii="仿宋_GB2312" w:hAnsi="仿宋_GB2312" w:eastAsia="仿宋_GB2312" w:cs="仿宋_GB2312"/>
          <w:bCs/>
          <w:sz w:val="32"/>
          <w:szCs w:val="32"/>
          <w:lang w:eastAsia="zh-CN"/>
        </w:rPr>
        <w:t>按照公司要求，经过多方沟通协商，最终确定将东平公司落户临沂市兰山区。</w:t>
      </w:r>
      <w:r>
        <w:rPr>
          <w:rFonts w:hint="eastAsia" w:ascii="仿宋_GB2312" w:eastAsia="仿宋_GB2312"/>
          <w:bCs/>
          <w:sz w:val="32"/>
          <w:szCs w:val="32"/>
        </w:rPr>
        <w:t>于2023年3月份完成了东平公司注册地</w:t>
      </w:r>
      <w:r>
        <w:rPr>
          <w:rFonts w:hint="eastAsia" w:ascii="仿宋_GB2312" w:eastAsia="仿宋_GB2312"/>
          <w:bCs/>
          <w:sz w:val="32"/>
          <w:szCs w:val="32"/>
          <w:lang w:val="en-US" w:eastAsia="zh-CN"/>
        </w:rPr>
        <w:t>工商变更登记</w:t>
      </w:r>
      <w:r>
        <w:rPr>
          <w:rFonts w:hint="eastAsia" w:ascii="仿宋_GB2312" w:hAnsi="仿宋_GB2312" w:eastAsia="仿宋_GB2312" w:cs="仿宋_GB2312"/>
          <w:bCs/>
          <w:sz w:val="32"/>
          <w:szCs w:val="32"/>
          <w:lang w:eastAsia="zh-CN"/>
        </w:rPr>
        <w:t>。</w:t>
      </w:r>
      <w:r>
        <w:rPr>
          <w:rFonts w:hint="eastAsia" w:ascii="仿宋_GB2312" w:eastAsia="仿宋_GB2312"/>
          <w:bCs/>
          <w:sz w:val="32"/>
          <w:szCs w:val="32"/>
        </w:rPr>
        <w:t>东平公司股东、法定代表人等变更登记内容均已形成公司股东会决议，东平公司变更登记所需材料已通过兰山区行政审批局审核。于202</w:t>
      </w:r>
      <w:r>
        <w:rPr>
          <w:rFonts w:hint="eastAsia" w:ascii="仿宋_GB2312" w:eastAsia="仿宋_GB2312"/>
          <w:bCs/>
          <w:sz w:val="32"/>
          <w:szCs w:val="32"/>
          <w:lang w:val="en-US" w:eastAsia="zh-CN"/>
        </w:rPr>
        <w:t>4</w:t>
      </w:r>
      <w:r>
        <w:rPr>
          <w:rFonts w:hint="eastAsia" w:ascii="仿宋_GB2312" w:eastAsia="仿宋_GB2312"/>
          <w:bCs/>
          <w:sz w:val="32"/>
          <w:szCs w:val="32"/>
        </w:rPr>
        <w:t>年3月份完成</w:t>
      </w:r>
      <w:r>
        <w:rPr>
          <w:rFonts w:hint="eastAsia" w:ascii="仿宋_GB2312" w:eastAsia="仿宋_GB2312"/>
          <w:bCs/>
          <w:sz w:val="32"/>
          <w:szCs w:val="32"/>
          <w:lang w:val="en-US" w:eastAsia="zh-CN"/>
        </w:rPr>
        <w:t>工商变更登记，取得新的营业执照</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
          <w:sz w:val="32"/>
          <w:szCs w:val="32"/>
          <w:lang w:eastAsia="zh-CN"/>
        </w:rPr>
        <w:t>是</w:t>
      </w:r>
      <w:r>
        <w:rPr>
          <w:rFonts w:hint="eastAsia" w:ascii="仿宋_GB2312" w:hAnsi="仿宋_GB2312" w:eastAsia="仿宋_GB2312" w:cs="仿宋_GB2312"/>
          <w:bCs/>
          <w:sz w:val="32"/>
          <w:szCs w:val="32"/>
          <w:lang w:eastAsia="zh-CN"/>
        </w:rPr>
        <w:t>推进能源管理改革。</w:t>
      </w:r>
      <w:r>
        <w:rPr>
          <w:rFonts w:hint="eastAsia" w:ascii="仿宋_GB2312" w:eastAsia="仿宋_GB2312"/>
          <w:bCs/>
          <w:sz w:val="32"/>
          <w:szCs w:val="32"/>
        </w:rPr>
        <w:t>3月完成东平铁路水电暖业务外包项目</w:t>
      </w:r>
      <w:r>
        <w:rPr>
          <w:rFonts w:hint="eastAsia" w:ascii="仿宋_GB2312" w:eastAsia="仿宋_GB2312"/>
          <w:bCs/>
          <w:sz w:val="32"/>
          <w:szCs w:val="32"/>
          <w:lang w:val="en-US" w:eastAsia="zh-CN"/>
        </w:rPr>
        <w:t>招标</w:t>
      </w:r>
      <w:r>
        <w:rPr>
          <w:rFonts w:hint="eastAsia" w:ascii="仿宋_GB2312" w:eastAsia="仿宋_GB2312"/>
          <w:bCs/>
          <w:sz w:val="32"/>
          <w:szCs w:val="32"/>
        </w:rPr>
        <w:t>，铁投能源公司中标。按照非运输业务管理经营会议精神，对水电暖业务外包项目委托管理合同进行补充完善。4月份完成合同的签订工作。每季对能源公司履约评价考核后支付服务费用。</w:t>
      </w:r>
      <w:r>
        <w:rPr>
          <w:rFonts w:hint="eastAsia" w:ascii="仿宋_GB2312" w:hAnsi="仿宋" w:eastAsia="仿宋_GB2312"/>
          <w:sz w:val="32"/>
          <w:szCs w:val="32"/>
        </w:rPr>
        <w:t>于2</w:t>
      </w:r>
      <w:r>
        <w:rPr>
          <w:rFonts w:ascii="仿宋_GB2312" w:hAnsi="仿宋" w:eastAsia="仿宋_GB2312"/>
          <w:sz w:val="32"/>
          <w:szCs w:val="32"/>
        </w:rPr>
        <w:t>023</w:t>
      </w:r>
      <w:r>
        <w:rPr>
          <w:rFonts w:hint="eastAsia" w:ascii="仿宋_GB2312" w:hAnsi="仿宋" w:eastAsia="仿宋_GB2312"/>
          <w:sz w:val="32"/>
          <w:szCs w:val="32"/>
        </w:rPr>
        <w:t>年年初协同济南供电段、临沂车务段完成东平铁路1</w:t>
      </w:r>
      <w:r>
        <w:rPr>
          <w:rFonts w:ascii="仿宋_GB2312" w:hAnsi="仿宋" w:eastAsia="仿宋_GB2312"/>
          <w:sz w:val="32"/>
          <w:szCs w:val="32"/>
        </w:rPr>
        <w:t>0KV</w:t>
      </w:r>
      <w:r>
        <w:rPr>
          <w:rFonts w:hint="eastAsia" w:ascii="仿宋_GB2312" w:hAnsi="仿宋" w:eastAsia="仿宋_GB2312"/>
          <w:sz w:val="32"/>
          <w:szCs w:val="32"/>
        </w:rPr>
        <w:t>车站用电过户移交。</w:t>
      </w:r>
    </w:p>
    <w:p>
      <w:pPr>
        <w:spacing w:line="560" w:lineRule="exact"/>
        <w:ind w:firstLine="640" w:firstLineChars="200"/>
        <w:rPr>
          <w:rFonts w:ascii="仿宋_GB2312" w:hAnsi="仿宋_GB2312" w:eastAsia="仿宋_GB2312" w:cs="仿宋_GB2312"/>
          <w:bCs/>
          <w:sz w:val="32"/>
          <w:szCs w:val="32"/>
          <w:lang w:eastAsia="zh-CN"/>
        </w:rPr>
      </w:pPr>
      <w:r>
        <w:rPr>
          <w:rFonts w:hint="eastAsia" w:ascii="楷体_GB2312" w:hAnsi="楷体_GB2312" w:eastAsia="楷体_GB2312" w:cs="楷体_GB2312"/>
          <w:kern w:val="1"/>
          <w:sz w:val="32"/>
          <w:szCs w:val="32"/>
          <w:lang w:eastAsia="zh-CN"/>
        </w:rPr>
        <w:t>（</w:t>
      </w:r>
      <w:r>
        <w:rPr>
          <w:rFonts w:hint="eastAsia" w:ascii="楷体_GB2312" w:hAnsi="楷体_GB2312" w:eastAsia="楷体_GB2312" w:cs="楷体_GB2312"/>
          <w:kern w:val="1"/>
          <w:sz w:val="32"/>
          <w:szCs w:val="32"/>
          <w:lang w:val="en-US" w:eastAsia="zh-CN"/>
        </w:rPr>
        <w:t>四</w:t>
      </w:r>
      <w:r>
        <w:rPr>
          <w:rFonts w:hint="eastAsia" w:ascii="楷体_GB2312" w:hAnsi="楷体_GB2312" w:eastAsia="楷体_GB2312" w:cs="楷体_GB2312"/>
          <w:kern w:val="1"/>
          <w:sz w:val="32"/>
          <w:szCs w:val="32"/>
          <w:lang w:eastAsia="zh-CN"/>
        </w:rPr>
        <w:t>）</w:t>
      </w:r>
      <w:r>
        <w:rPr>
          <w:rFonts w:hint="eastAsia" w:ascii="楷体_GB2312" w:hAnsi="楷体_GB2312" w:eastAsia="楷体_GB2312" w:cs="楷体_GB2312"/>
          <w:b w:val="0"/>
          <w:bCs w:val="0"/>
          <w:sz w:val="32"/>
          <w:szCs w:val="32"/>
          <w:lang w:val="en-US" w:eastAsia="zh-CN" w:bidi="ar-SA"/>
        </w:rPr>
        <w:t>扎实抓好支部建设</w:t>
      </w:r>
      <w:r>
        <w:rPr>
          <w:rFonts w:hint="eastAsia" w:ascii="楷体_GB2312" w:hAnsi="楷体_GB2312" w:eastAsia="楷体_GB2312" w:cs="楷体_GB2312"/>
          <w:kern w:val="1"/>
          <w:sz w:val="32"/>
          <w:szCs w:val="32"/>
          <w:lang w:eastAsia="zh-CN"/>
        </w:rPr>
        <w:t>。</w:t>
      </w:r>
      <w:r>
        <w:rPr>
          <w:rFonts w:hint="eastAsia" w:ascii="楷体_GB2312" w:hAnsi="楷体_GB2312" w:eastAsia="楷体_GB2312" w:cs="楷体_GB2312"/>
          <w:kern w:val="1"/>
          <w:sz w:val="32"/>
          <w:szCs w:val="32"/>
          <w:lang w:val="en-US" w:eastAsia="zh-CN"/>
        </w:rPr>
        <w:t>一是</w:t>
      </w:r>
      <w:r>
        <w:rPr>
          <w:rFonts w:hint="eastAsia" w:ascii="仿宋_GB2312" w:eastAsia="仿宋_GB2312"/>
          <w:sz w:val="32"/>
          <w:szCs w:val="32"/>
        </w:rPr>
        <w:t>发挥党</w:t>
      </w:r>
      <w:r>
        <w:rPr>
          <w:rFonts w:hint="eastAsia" w:ascii="仿宋_GB2312" w:eastAsia="仿宋_GB2312"/>
          <w:sz w:val="32"/>
          <w:szCs w:val="32"/>
          <w:lang w:val="en-US" w:eastAsia="zh-CN"/>
        </w:rPr>
        <w:t>组织</w:t>
      </w:r>
      <w:r>
        <w:rPr>
          <w:rFonts w:hint="eastAsia" w:ascii="仿宋_GB2312" w:eastAsia="仿宋_GB2312"/>
          <w:sz w:val="32"/>
          <w:szCs w:val="32"/>
        </w:rPr>
        <w:t>把方向、管大局、保落实作用</w:t>
      </w:r>
      <w:r>
        <w:rPr>
          <w:rFonts w:hint="eastAsia" w:ascii="仿宋_GB2312" w:eastAsia="仿宋_GB2312"/>
          <w:sz w:val="32"/>
          <w:szCs w:val="32"/>
          <w:lang w:val="en-US" w:eastAsia="zh-CN"/>
        </w:rPr>
        <w:t>，</w:t>
      </w:r>
      <w:r>
        <w:rPr>
          <w:rFonts w:hint="eastAsia" w:ascii="仿宋_GB2312" w:hAnsi="仿宋_GB2312" w:eastAsia="仿宋_GB2312" w:cs="仿宋_GB2312"/>
          <w:snapToGrid w:val="0"/>
          <w:kern w:val="0"/>
          <w:sz w:val="32"/>
          <w:szCs w:val="32"/>
        </w:rPr>
        <w:t>研究制定了党支部研究决定事项清单、前置研究讨论事项清单及负面清单</w:t>
      </w:r>
      <w:r>
        <w:rPr>
          <w:rFonts w:hint="eastAsia" w:ascii="仿宋_GB2312" w:hAnsi="仿宋_GB2312" w:eastAsia="仿宋_GB2312" w:cs="仿宋_GB2312"/>
          <w:snapToGrid w:val="0"/>
          <w:kern w:val="0"/>
          <w:sz w:val="32"/>
          <w:szCs w:val="32"/>
          <w:lang w:eastAsia="zh-CN"/>
        </w:rPr>
        <w:t>，</w:t>
      </w:r>
      <w:r>
        <w:rPr>
          <w:rFonts w:hint="eastAsia" w:ascii="仿宋_GB2312" w:eastAsia="仿宋_GB2312"/>
          <w:sz w:val="32"/>
          <w:szCs w:val="32"/>
          <w:lang w:val="en-US" w:eastAsia="zh-CN"/>
        </w:rPr>
        <w:t>做到“三重一大事项”支部党员大会前置研究</w:t>
      </w:r>
      <w:r>
        <w:rPr>
          <w:rFonts w:hint="eastAsia" w:ascii="仿宋_GB2312" w:eastAsia="仿宋_GB2312"/>
          <w:sz w:val="32"/>
          <w:szCs w:val="32"/>
        </w:rPr>
        <w:t>。</w:t>
      </w:r>
      <w:r>
        <w:rPr>
          <w:rFonts w:hint="eastAsia" w:ascii="仿宋_GB2312" w:eastAsia="仿宋_GB2312"/>
          <w:sz w:val="32"/>
          <w:szCs w:val="32"/>
          <w:lang w:val="en-US" w:eastAsia="zh-CN"/>
        </w:rPr>
        <w:t>二是围绕</w:t>
      </w:r>
      <w:r>
        <w:rPr>
          <w:rFonts w:hint="eastAsia" w:ascii="仿宋_GB2312" w:eastAsia="仿宋_GB2312"/>
          <w:sz w:val="32"/>
          <w:szCs w:val="32"/>
        </w:rPr>
        <w:t>年度党建重点任务，</w:t>
      </w:r>
      <w:r>
        <w:rPr>
          <w:rFonts w:hint="eastAsia" w:ascii="仿宋_GB2312" w:eastAsia="仿宋_GB2312"/>
          <w:sz w:val="32"/>
          <w:szCs w:val="32"/>
          <w:lang w:val="en-US" w:eastAsia="zh-CN"/>
        </w:rPr>
        <w:t>抓好</w:t>
      </w:r>
      <w:r>
        <w:rPr>
          <w:rFonts w:hint="eastAsia" w:ascii="仿宋_GB2312" w:eastAsia="仿宋_GB2312"/>
          <w:sz w:val="32"/>
          <w:szCs w:val="32"/>
        </w:rPr>
        <w:t>“三会一课”、组织生活会、主题党日活动</w:t>
      </w:r>
      <w:r>
        <w:rPr>
          <w:rFonts w:hint="eastAsia" w:ascii="仿宋_GB2312" w:eastAsia="仿宋_GB2312"/>
          <w:sz w:val="32"/>
          <w:szCs w:val="32"/>
          <w:lang w:val="en-US" w:eastAsia="zh-CN"/>
        </w:rPr>
        <w:t>的规划和落实。三是</w:t>
      </w:r>
      <w:r>
        <w:rPr>
          <w:rFonts w:hint="eastAsia" w:ascii="仿宋_GB2312" w:hAnsi="仿宋_GB2312" w:eastAsia="仿宋_GB2312" w:cs="仿宋_GB2312"/>
          <w:sz w:val="32"/>
          <w:szCs w:val="32"/>
          <w:lang w:val="en-US" w:eastAsia="zh-CN"/>
        </w:rPr>
        <w:t>开展主题教育，从六个方面逐条对照，全面梳理，自查7条问题全部落实整改。四是落实党风廉政建设，</w:t>
      </w:r>
      <w:r>
        <w:rPr>
          <w:rFonts w:hint="eastAsia" w:ascii="仿宋_GB2312" w:eastAsia="仿宋_GB2312"/>
          <w:sz w:val="32"/>
          <w:szCs w:val="32"/>
        </w:rPr>
        <w:t>开展</w:t>
      </w:r>
      <w:bookmarkStart w:id="3" w:name="_GoBack"/>
      <w:bookmarkEnd w:id="3"/>
      <w:r>
        <w:rPr>
          <w:rFonts w:hint="eastAsia" w:ascii="仿宋_GB2312" w:eastAsia="仿宋_GB2312"/>
          <w:sz w:val="32"/>
          <w:szCs w:val="32"/>
        </w:rPr>
        <w:t>“靠企吃企”问题自查自纠和专项整治，开展违反中央八项规定精神突出问题专项治理，开展“不担当不作为假作为乱作为”问题排查</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全年组织支部党员大会（含组织生活会）18次、党课4次，亲自讲党课3次，开展主题党日活动12次，</w:t>
      </w:r>
      <w:r>
        <w:rPr>
          <w:rFonts w:hint="eastAsia" w:ascii="仿宋_GB2312" w:hAnsi="宋体" w:eastAsia="仿宋_GB2312" w:cs="宋体"/>
          <w:b w:val="0"/>
          <w:bCs w:val="0"/>
          <w:kern w:val="0"/>
          <w:sz w:val="32"/>
          <w:szCs w:val="32"/>
          <w:lang w:val="en-US" w:eastAsia="zh-CN" w:bidi="ar"/>
        </w:rPr>
        <w:t>教育引导所有员工，</w:t>
      </w:r>
      <w:r>
        <w:rPr>
          <w:rFonts w:hint="eastAsia" w:ascii="仿宋_GB2312" w:eastAsia="仿宋_GB2312"/>
          <w:sz w:val="32"/>
          <w:szCs w:val="32"/>
        </w:rPr>
        <w:t>克服人员少、专业人员不足的困难，打破部门界限，围绕重点工作合力攻坚，集中力量解决关键问题。</w:t>
      </w:r>
      <w:r>
        <w:rPr>
          <w:rFonts w:hint="eastAsia" w:ascii="仿宋_GB2312" w:eastAsia="仿宋_GB2312"/>
          <w:bCs/>
          <w:sz w:val="32"/>
          <w:szCs w:val="32"/>
          <w:lang w:val="en-US" w:eastAsia="zh-CN"/>
        </w:rPr>
        <w:t>2023年初</w:t>
      </w:r>
      <w:r>
        <w:rPr>
          <w:rFonts w:hint="eastAsia" w:ascii="仿宋_GB2312" w:eastAsia="仿宋_GB2312"/>
          <w:bCs/>
          <w:sz w:val="32"/>
          <w:szCs w:val="32"/>
        </w:rPr>
        <w:t>迎接了集团公司过硬党支部验收，被评为第四批过硬党支部示范点。</w:t>
      </w:r>
    </w:p>
    <w:p>
      <w:pPr>
        <w:spacing w:line="560" w:lineRule="exact"/>
        <w:ind w:firstLine="640" w:firstLineChars="200"/>
        <w:jc w:val="both"/>
        <w:rPr>
          <w:rFonts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年面对深化改革、减亏止亏两大艰巨任务，公司董事会将</w:t>
      </w:r>
      <w:r>
        <w:rPr>
          <w:rFonts w:hint="eastAsia" w:ascii="仿宋_GB2312" w:hAnsi="仿宋_GB2312" w:eastAsia="仿宋_GB2312" w:cs="仿宋_GB2312"/>
          <w:bCs/>
          <w:sz w:val="32"/>
          <w:szCs w:val="32"/>
          <w:lang w:eastAsia="zh-CN"/>
        </w:rPr>
        <w:t>规范决策机制，履行公司法人治理体系、“三会一层”运作、“三重一大”事项决策的工作程序，</w:t>
      </w:r>
      <w:r>
        <w:rPr>
          <w:rFonts w:hint="eastAsia" w:ascii="仿宋_GB2312" w:hAnsi="仿宋_GB2312" w:eastAsia="仿宋_GB2312" w:cs="仿宋_GB2312"/>
          <w:bCs/>
          <w:spacing w:val="-4"/>
          <w:sz w:val="32"/>
          <w:szCs w:val="32"/>
          <w:lang w:eastAsia="zh-CN"/>
        </w:rPr>
        <w:t>以更饱满的热情、更昂扬的斗志、更务实的作风、更坚定的信心，笃行不怠，勇往直前，努力完成2023年工作任务目标，</w:t>
      </w:r>
      <w:r>
        <w:rPr>
          <w:rFonts w:hint="eastAsia" w:ascii="仿宋_GB2312" w:hAnsi="仿宋_GB2312" w:eastAsia="仿宋_GB2312" w:cs="仿宋_GB2312"/>
          <w:sz w:val="32"/>
          <w:szCs w:val="32"/>
          <w:lang w:eastAsia="zh-CN"/>
        </w:rPr>
        <w:t>为公司健康可持续发展做出新的贡献。</w:t>
      </w:r>
    </w:p>
    <w:p>
      <w:pPr>
        <w:autoSpaceDE w:val="0"/>
        <w:autoSpaceDN w:val="0"/>
        <w:adjustRightInd w:val="0"/>
        <w:snapToGrid w:val="0"/>
        <w:spacing w:line="540" w:lineRule="exact"/>
        <w:ind w:right="14" w:rightChars="6" w:firstLine="640" w:firstLineChars="200"/>
        <w:rPr>
          <w:rFonts w:ascii="仿宋_GB2312" w:hAnsi="宋体" w:eastAsia="黑体"/>
          <w:color w:val="0000FF"/>
          <w:sz w:val="32"/>
          <w:szCs w:val="32"/>
          <w:lang w:eastAsia="zh-CN"/>
        </w:rPr>
      </w:pPr>
      <w:r>
        <w:rPr>
          <w:rFonts w:hint="eastAsia" w:ascii="黑体" w:hAnsi="黑体" w:eastAsia="黑体" w:cs="黑体"/>
          <w:sz w:val="32"/>
          <w:szCs w:val="32"/>
          <w:lang w:eastAsia="zh-CN"/>
        </w:rPr>
        <w:t>四、年度审计报告摘要</w:t>
      </w:r>
    </w:p>
    <w:p>
      <w:pPr>
        <w:widowControl/>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bidi="ar"/>
        </w:rPr>
        <w:t>我公司202</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 xml:space="preserve">年度财务数据经天职国际会计师事务所（特殊普通合伙）审计，出具无保留意见审计报告，审计报告摘要如下： </w:t>
      </w:r>
    </w:p>
    <w:p>
      <w:pPr>
        <w:widowControl/>
        <w:spacing w:line="58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bidi="ar"/>
        </w:rPr>
        <w:t xml:space="preserve">（一）审计意见 </w:t>
      </w:r>
    </w:p>
    <w:p>
      <w:pPr>
        <w:widowControl/>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bidi="ar"/>
        </w:rPr>
        <w:t>我们审计了东平铁路有限责任公司财务报表，包括202</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年12月31日的资产负债表，202</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 xml:space="preserve">年度的利润表、现金流量表、所有者权益变动表以及相关财务报表附注。 </w:t>
      </w:r>
    </w:p>
    <w:p>
      <w:pPr>
        <w:widowControl/>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bidi="ar"/>
        </w:rPr>
        <w:t>我们认为，后附的财务报表在所有重大方面按照企业会计准则的规定编制，公允反映了东平公司202</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年12月31日的财务状况以及202</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 xml:space="preserve">年度的经营成果和现金流量。 </w:t>
      </w:r>
    </w:p>
    <w:p>
      <w:pPr>
        <w:widowControl/>
        <w:spacing w:line="58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bidi="ar"/>
        </w:rPr>
        <w:t xml:space="preserve">（二）形成审计意见的基础 </w:t>
      </w:r>
    </w:p>
    <w:p>
      <w:pPr>
        <w:widowControl/>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bidi="ar"/>
        </w:rPr>
        <w:t>我们按照中国注册会计师审计准则的规定执行了审计工作。审计报告的“注册会计师对财务报表审计的责任”部分进一步阐述了我们在这些准则下的责任。按照中国注册会计师职业道德守则，我们独立于东平公司，并履行了职业道德方面的其他责任。我们相信，我们获取的审计证据是充分、适当的，为发表审计意见提供了基础。</w:t>
      </w:r>
    </w:p>
    <w:p>
      <w:pPr>
        <w:autoSpaceDE w:val="0"/>
        <w:autoSpaceDN w:val="0"/>
        <w:adjustRightInd w:val="0"/>
        <w:snapToGrid w:val="0"/>
        <w:spacing w:line="600" w:lineRule="exact"/>
        <w:ind w:right="14" w:rightChars="6" w:firstLine="640" w:firstLineChars="200"/>
        <w:rPr>
          <w:rFonts w:ascii="黑体" w:hAnsi="黑体" w:eastAsia="黑体"/>
          <w:sz w:val="32"/>
          <w:szCs w:val="32"/>
          <w:lang w:eastAsia="zh-CN"/>
        </w:rPr>
      </w:pPr>
      <w:r>
        <w:rPr>
          <w:rFonts w:hint="eastAsia" w:ascii="黑体" w:hAnsi="黑体" w:eastAsia="黑体"/>
          <w:sz w:val="32"/>
          <w:szCs w:val="32"/>
          <w:lang w:eastAsia="zh-CN"/>
        </w:rPr>
        <w:t>五</w:t>
      </w:r>
      <w:r>
        <w:rPr>
          <w:rFonts w:ascii="黑体" w:hAnsi="黑体" w:eastAsia="黑体"/>
          <w:sz w:val="32"/>
          <w:szCs w:val="32"/>
          <w:lang w:eastAsia="zh-CN"/>
        </w:rPr>
        <w:t xml:space="preserve">、“三重一大”有关事项 </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（一）有关重大决策 </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hint="eastAsia" w:ascii="仿宋_GB2312" w:hAnsi="仿宋_GB2312" w:eastAsia="仿宋_GB2312" w:cs="仿宋_GB2312"/>
          <w:sz w:val="32"/>
          <w:szCs w:val="32"/>
          <w:lang w:eastAsia="zh-CN"/>
        </w:rPr>
        <w:t>组织召开了东平铁路有限责任公司202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年股东会、董事会、监事会。</w:t>
      </w:r>
      <w:r>
        <w:rPr>
          <w:rFonts w:hint="eastAsia" w:ascii="仿宋_GB2312" w:hAnsi="仿宋_GB2312" w:eastAsia="仿宋_GB2312" w:cs="仿宋_GB2312"/>
          <w:bCs/>
          <w:sz w:val="32"/>
          <w:szCs w:val="32"/>
          <w:lang w:eastAsia="zh-CN"/>
        </w:rPr>
        <w:t>根据工作实际，202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年组织召开2次临时股东会、董事会，重大事项股东会决策，确保相关经营工作及时推进。</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（二）有关重大人事任免 </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无。 </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（三）有关重大项目投资及境外投资情况</w:t>
      </w:r>
    </w:p>
    <w:p>
      <w:pPr>
        <w:spacing w:line="580" w:lineRule="exact"/>
        <w:ind w:firstLine="600"/>
        <w:jc w:val="both"/>
        <w:rPr>
          <w:rFonts w:hAnsi="宋体"/>
          <w:sz w:val="32"/>
          <w:szCs w:val="32"/>
          <w:lang w:eastAsia="zh-CN"/>
        </w:rPr>
      </w:pPr>
      <w:r>
        <w:rPr>
          <w:rFonts w:hint="eastAsia" w:ascii="仿宋_GB2312" w:hAnsi="仿宋_GB2312" w:eastAsia="仿宋_GB2312" w:cs="仿宋_GB2312"/>
          <w:sz w:val="32"/>
          <w:szCs w:val="32"/>
          <w:lang w:eastAsia="zh-CN"/>
        </w:rPr>
        <w:t>根据委托运输管理受托方济南局集团有限公司提报有关东平铁路有限责任公司2023年运输设施设备更新改造计划建议，结合公司实际情况，2023年度公司安排运输设施设备更新改造项目10项，估算投资金额总计2086.4万元。</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（四）大额资金的调动及使用情况 </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lang w:eastAsia="zh-CN"/>
        </w:rPr>
        <w:t>年大额资金的调动和使用均符合国资监管及公司相关 制度规定。</w:t>
      </w:r>
      <w:r>
        <w:rPr>
          <w:rFonts w:ascii="楷体" w:hAnsi="楷体" w:eastAsia="楷体"/>
          <w:sz w:val="32"/>
          <w:szCs w:val="32"/>
          <w:lang w:eastAsia="zh-CN"/>
        </w:rPr>
        <w:t xml:space="preserve"> </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（五）国有资产保值增值情况 </w:t>
      </w:r>
    </w:p>
    <w:p>
      <w:pPr>
        <w:autoSpaceDE w:val="0"/>
        <w:autoSpaceDN w:val="0"/>
        <w:adjustRightInd w:val="0"/>
        <w:snapToGrid w:val="0"/>
        <w:spacing w:line="600" w:lineRule="exact"/>
        <w:ind w:right="14" w:rightChars="6" w:firstLine="640" w:firstLineChars="200"/>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持续加强国有资产经营管理，提质增效，实现国有资产保值增值。</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（六）企业重大改制重组 </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仿宋_GB2312" w:hAnsi="仿宋_GB2312" w:eastAsia="仿宋_GB2312" w:cs="仿宋_GB2312"/>
          <w:sz w:val="32"/>
          <w:szCs w:val="32"/>
          <w:lang w:eastAsia="zh-CN"/>
        </w:rPr>
        <w:t>无。</w:t>
      </w:r>
      <w:r>
        <w:rPr>
          <w:rFonts w:ascii="楷体" w:hAnsi="楷体" w:eastAsia="楷体"/>
          <w:sz w:val="32"/>
          <w:szCs w:val="32"/>
          <w:lang w:eastAsia="zh-CN"/>
        </w:rPr>
        <w:t xml:space="preserve"> </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（七）通过产权市场转让企业产权和企业增资等信息 </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仿宋_GB2312" w:hAnsi="仿宋_GB2312" w:eastAsia="仿宋_GB2312" w:cs="仿宋_GB2312"/>
          <w:sz w:val="32"/>
          <w:szCs w:val="32"/>
          <w:lang w:eastAsia="zh-CN"/>
        </w:rPr>
        <w:t>无。</w:t>
      </w:r>
      <w:r>
        <w:rPr>
          <w:rFonts w:ascii="楷体" w:hAnsi="楷体" w:eastAsia="楷体"/>
          <w:sz w:val="32"/>
          <w:szCs w:val="32"/>
          <w:lang w:eastAsia="zh-CN"/>
        </w:rPr>
        <w:t xml:space="preserve"> </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（八）有关部门依法要求公开的监督检查问题整改情况 </w:t>
      </w:r>
    </w:p>
    <w:p>
      <w:pPr>
        <w:autoSpaceDE w:val="0"/>
        <w:autoSpaceDN w:val="0"/>
        <w:adjustRightInd w:val="0"/>
        <w:snapToGrid w:val="0"/>
        <w:spacing w:line="600" w:lineRule="exact"/>
        <w:ind w:right="14" w:rightChars="6" w:firstLine="640" w:firstLineChars="200"/>
        <w:rPr>
          <w:rFonts w:ascii="楷体" w:hAnsi="楷体" w:eastAsia="楷体"/>
          <w:sz w:val="32"/>
          <w:szCs w:val="32"/>
          <w:lang w:eastAsia="zh-CN"/>
        </w:rPr>
      </w:pPr>
      <w:r>
        <w:rPr>
          <w:rFonts w:ascii="仿宋_GB2312" w:hAnsi="仿宋_GB2312" w:eastAsia="仿宋_GB2312" w:cs="仿宋_GB2312"/>
          <w:sz w:val="32"/>
          <w:szCs w:val="32"/>
          <w:lang w:eastAsia="zh-CN"/>
        </w:rPr>
        <w:t>无。</w:t>
      </w:r>
      <w:r>
        <w:rPr>
          <w:rFonts w:ascii="楷体" w:hAnsi="楷体" w:eastAsia="楷体"/>
          <w:sz w:val="32"/>
          <w:szCs w:val="32"/>
          <w:lang w:eastAsia="zh-CN"/>
        </w:rPr>
        <w:t xml:space="preserve"> </w:t>
      </w:r>
    </w:p>
    <w:p>
      <w:pPr>
        <w:autoSpaceDE w:val="0"/>
        <w:autoSpaceDN w:val="0"/>
        <w:adjustRightInd w:val="0"/>
        <w:snapToGrid w:val="0"/>
        <w:spacing w:line="56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（九）重大突发事件事态发展和应急处置情况 </w:t>
      </w:r>
    </w:p>
    <w:p>
      <w:pPr>
        <w:autoSpaceDE w:val="0"/>
        <w:autoSpaceDN w:val="0"/>
        <w:adjustRightInd w:val="0"/>
        <w:snapToGrid w:val="0"/>
        <w:spacing w:line="560" w:lineRule="exact"/>
        <w:ind w:right="14" w:rightChars="6" w:firstLine="640" w:firstLineChars="200"/>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无。</w:t>
      </w:r>
    </w:p>
    <w:p>
      <w:pPr>
        <w:autoSpaceDE w:val="0"/>
        <w:autoSpaceDN w:val="0"/>
        <w:adjustRightInd w:val="0"/>
        <w:snapToGrid w:val="0"/>
        <w:spacing w:line="560" w:lineRule="exact"/>
        <w:ind w:right="14" w:rightChars="6" w:firstLine="640" w:firstLineChars="200"/>
        <w:rPr>
          <w:rFonts w:ascii="黑体" w:hAnsi="黑体" w:eastAsia="黑体"/>
          <w:sz w:val="32"/>
          <w:szCs w:val="32"/>
          <w:lang w:eastAsia="zh-CN"/>
        </w:rPr>
      </w:pPr>
      <w:r>
        <w:rPr>
          <w:rFonts w:hint="eastAsia" w:ascii="黑体" w:hAnsi="黑体" w:eastAsia="黑体"/>
          <w:sz w:val="32"/>
          <w:szCs w:val="32"/>
          <w:lang w:eastAsia="zh-CN"/>
        </w:rPr>
        <w:t>六</w:t>
      </w:r>
      <w:r>
        <w:rPr>
          <w:rFonts w:ascii="黑体" w:hAnsi="黑体" w:eastAsia="黑体"/>
          <w:sz w:val="32"/>
          <w:szCs w:val="32"/>
          <w:lang w:eastAsia="zh-CN"/>
        </w:rPr>
        <w:t xml:space="preserve">、社会责任的履行 </w:t>
      </w:r>
    </w:p>
    <w:p>
      <w:pPr>
        <w:autoSpaceDE w:val="0"/>
        <w:autoSpaceDN w:val="0"/>
        <w:adjustRightInd w:val="0"/>
        <w:snapToGrid w:val="0"/>
        <w:spacing w:line="56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（一）职工劳动合同的签订、履行等劳动法律法规的遵守和 执行情况 </w:t>
      </w:r>
    </w:p>
    <w:p>
      <w:pPr>
        <w:autoSpaceDE w:val="0"/>
        <w:autoSpaceDN w:val="0"/>
        <w:adjustRightInd w:val="0"/>
        <w:snapToGrid w:val="0"/>
        <w:spacing w:line="560" w:lineRule="exact"/>
        <w:ind w:right="14" w:rightChars="6" w:firstLine="640" w:firstLineChars="200"/>
        <w:rPr>
          <w:rFonts w:ascii="仿宋_GB2312" w:hAnsi="仿宋" w:eastAsia="仿宋_GB2312" w:cs="仿宋"/>
          <w:sz w:val="32"/>
          <w:szCs w:val="32"/>
          <w:lang w:eastAsia="zh-CN"/>
        </w:rPr>
      </w:pPr>
      <w:r>
        <w:rPr>
          <w:rFonts w:ascii="仿宋_GB2312" w:hAnsi="仿宋" w:eastAsia="仿宋_GB2312" w:cs="仿宋"/>
          <w:sz w:val="32"/>
          <w:szCs w:val="32"/>
          <w:lang w:eastAsia="zh-CN"/>
        </w:rPr>
        <w:t>根据《山东铁路有限公司劳动合同管理办法（试行）》，严 格遵守和执行劳动法律法规，切实维护职工的合法权益，构建和 谐劳动关系。截至202</w:t>
      </w:r>
      <w:r>
        <w:rPr>
          <w:rFonts w:hint="eastAsia" w:ascii="仿宋_GB2312" w:hAnsi="仿宋" w:eastAsia="仿宋_GB2312" w:cs="仿宋"/>
          <w:sz w:val="32"/>
          <w:szCs w:val="32"/>
          <w:lang w:val="en-US" w:eastAsia="zh-CN"/>
        </w:rPr>
        <w:t>3</w:t>
      </w:r>
      <w:r>
        <w:rPr>
          <w:rFonts w:ascii="仿宋_GB2312" w:hAnsi="仿宋" w:eastAsia="仿宋_GB2312" w:cs="仿宋"/>
          <w:sz w:val="32"/>
          <w:szCs w:val="32"/>
          <w:lang w:eastAsia="zh-CN"/>
        </w:rPr>
        <w:t xml:space="preserve">年底，职工劳动合同签订率为100%。全年 未发生一起劳动合同纠纷事件。 </w:t>
      </w:r>
    </w:p>
    <w:p>
      <w:pPr>
        <w:autoSpaceDE w:val="0"/>
        <w:autoSpaceDN w:val="0"/>
        <w:adjustRightInd w:val="0"/>
        <w:snapToGrid w:val="0"/>
        <w:spacing w:line="56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（二）人才引进、职工招聘等情况 </w:t>
      </w:r>
    </w:p>
    <w:p>
      <w:pPr>
        <w:autoSpaceDE w:val="0"/>
        <w:autoSpaceDN w:val="0"/>
        <w:adjustRightInd w:val="0"/>
        <w:snapToGrid w:val="0"/>
        <w:spacing w:line="560" w:lineRule="exact"/>
        <w:ind w:right="14" w:rightChars="6" w:firstLine="640" w:firstLineChars="200"/>
        <w:rPr>
          <w:rFonts w:ascii="楷体" w:hAnsi="楷体" w:eastAsia="楷体"/>
          <w:sz w:val="32"/>
          <w:szCs w:val="32"/>
          <w:lang w:eastAsia="zh-CN"/>
        </w:rPr>
      </w:pPr>
      <w:r>
        <w:rPr>
          <w:rFonts w:ascii="仿宋_GB2312" w:hAnsi="仿宋" w:eastAsia="仿宋_GB2312" w:cs="仿宋"/>
          <w:sz w:val="32"/>
          <w:szCs w:val="32"/>
          <w:lang w:eastAsia="zh-CN"/>
        </w:rPr>
        <w:t>无。</w:t>
      </w:r>
      <w:r>
        <w:rPr>
          <w:rFonts w:ascii="楷体" w:hAnsi="楷体" w:eastAsia="楷体"/>
          <w:sz w:val="32"/>
          <w:szCs w:val="32"/>
          <w:lang w:eastAsia="zh-CN"/>
        </w:rPr>
        <w:t xml:space="preserve"> </w:t>
      </w:r>
    </w:p>
    <w:p>
      <w:pPr>
        <w:autoSpaceDE w:val="0"/>
        <w:autoSpaceDN w:val="0"/>
        <w:adjustRightInd w:val="0"/>
        <w:snapToGrid w:val="0"/>
        <w:spacing w:line="56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（三）职工劳动、安全及卫生保护情况 </w:t>
      </w:r>
    </w:p>
    <w:p>
      <w:pPr>
        <w:autoSpaceDE w:val="0"/>
        <w:autoSpaceDN w:val="0"/>
        <w:adjustRightInd w:val="0"/>
        <w:snapToGrid w:val="0"/>
        <w:spacing w:line="560" w:lineRule="exact"/>
        <w:ind w:right="14" w:rightChars="6" w:firstLine="640" w:firstLineChars="200"/>
        <w:rPr>
          <w:rFonts w:ascii="仿宋_GB2312" w:hAnsi="仿宋" w:eastAsia="仿宋_GB2312" w:cs="仿宋"/>
          <w:sz w:val="32"/>
          <w:szCs w:val="32"/>
          <w:lang w:eastAsia="zh-CN"/>
        </w:rPr>
      </w:pPr>
      <w:r>
        <w:rPr>
          <w:rFonts w:ascii="仿宋_GB2312" w:hAnsi="仿宋" w:eastAsia="仿宋_GB2312" w:cs="仿宋"/>
          <w:sz w:val="32"/>
          <w:szCs w:val="32"/>
          <w:lang w:eastAsia="zh-CN"/>
        </w:rPr>
        <w:t xml:space="preserve">公司严格按照劳动保护法及相关要求保障职工合法权益。改 善劳动条件，加强相关培训，为职工提供健康安全的工作环境。 </w:t>
      </w:r>
    </w:p>
    <w:p>
      <w:pPr>
        <w:autoSpaceDE w:val="0"/>
        <w:autoSpaceDN w:val="0"/>
        <w:adjustRightInd w:val="0"/>
        <w:snapToGrid w:val="0"/>
        <w:spacing w:line="56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（四）开展环境治理及保护情况 </w:t>
      </w:r>
    </w:p>
    <w:p>
      <w:pPr>
        <w:autoSpaceDE w:val="0"/>
        <w:autoSpaceDN w:val="0"/>
        <w:adjustRightInd w:val="0"/>
        <w:snapToGrid w:val="0"/>
        <w:spacing w:line="560" w:lineRule="exact"/>
        <w:ind w:right="14" w:rightChars="6" w:firstLine="640" w:firstLineChars="200"/>
        <w:rPr>
          <w:rFonts w:ascii="仿宋_GB2312" w:hAnsi="仿宋" w:eastAsia="仿宋_GB2312" w:cs="仿宋"/>
          <w:sz w:val="32"/>
          <w:szCs w:val="32"/>
          <w:lang w:eastAsia="zh-CN"/>
        </w:rPr>
      </w:pPr>
      <w:r>
        <w:rPr>
          <w:rFonts w:ascii="仿宋_GB2312" w:hAnsi="仿宋" w:eastAsia="仿宋_GB2312" w:cs="仿宋"/>
          <w:sz w:val="32"/>
          <w:szCs w:val="32"/>
          <w:lang w:eastAsia="zh-CN"/>
        </w:rPr>
        <w:t xml:space="preserve">公司所有项目全部满足国家相应标准要求，并积极与管辖铁 路沿线地方政府对接处理各项工作。 </w:t>
      </w:r>
    </w:p>
    <w:p>
      <w:pPr>
        <w:autoSpaceDE w:val="0"/>
        <w:autoSpaceDN w:val="0"/>
        <w:adjustRightInd w:val="0"/>
        <w:snapToGrid w:val="0"/>
        <w:spacing w:line="560" w:lineRule="exact"/>
        <w:ind w:right="14" w:rightChars="6" w:firstLine="640" w:firstLineChars="200"/>
        <w:rPr>
          <w:rFonts w:ascii="楷体" w:hAnsi="楷体" w:eastAsia="楷体"/>
          <w:sz w:val="32"/>
          <w:szCs w:val="32"/>
          <w:lang w:eastAsia="zh-CN"/>
        </w:rPr>
      </w:pPr>
      <w:r>
        <w:rPr>
          <w:rFonts w:ascii="楷体" w:hAnsi="楷体" w:eastAsia="楷体"/>
          <w:sz w:val="32"/>
          <w:szCs w:val="32"/>
          <w:lang w:eastAsia="zh-CN"/>
        </w:rPr>
        <w:t xml:space="preserve">（五）提供安全的产品和服务，遵守商业道德情况 </w:t>
      </w:r>
    </w:p>
    <w:p>
      <w:pPr>
        <w:autoSpaceDE w:val="0"/>
        <w:autoSpaceDN w:val="0"/>
        <w:adjustRightInd w:val="0"/>
        <w:snapToGrid w:val="0"/>
        <w:spacing w:line="560" w:lineRule="exact"/>
        <w:ind w:right="14" w:rightChars="6" w:firstLine="640" w:firstLineChars="200"/>
        <w:rPr>
          <w:rFonts w:ascii="仿宋_GB2312" w:hAnsi="仿宋" w:eastAsia="仿宋_GB2312" w:cs="仿宋"/>
          <w:sz w:val="32"/>
          <w:szCs w:val="32"/>
          <w:lang w:eastAsia="zh-CN"/>
        </w:rPr>
      </w:pPr>
      <w:r>
        <w:rPr>
          <w:rFonts w:ascii="仿宋_GB2312" w:hAnsi="仿宋" w:eastAsia="仿宋_GB2312" w:cs="仿宋"/>
          <w:sz w:val="32"/>
          <w:szCs w:val="32"/>
          <w:lang w:eastAsia="zh-CN"/>
        </w:rPr>
        <w:t>公司始终遵守市场竞争规则和商业道德，维护市场经济秩序， 促进公平竞争，增强经济活动的可预期性。坚持依法经营，牢记 道德底线、法律红线，诚信合规经营。坚持以公平、对等、诚信 的态度对待商业合作伙伴，努力赢得伙伴和市场的信赖。</w:t>
      </w:r>
    </w:p>
    <w:p>
      <w:pPr>
        <w:autoSpaceDE w:val="0"/>
        <w:autoSpaceDN w:val="0"/>
        <w:adjustRightInd w:val="0"/>
        <w:snapToGrid w:val="0"/>
        <w:spacing w:line="560" w:lineRule="exact"/>
        <w:ind w:right="14" w:rightChars="6"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（六）对外大额捐赠和赞助情况</w:t>
      </w:r>
    </w:p>
    <w:p>
      <w:pPr>
        <w:autoSpaceDE w:val="0"/>
        <w:autoSpaceDN w:val="0"/>
        <w:adjustRightInd w:val="0"/>
        <w:snapToGrid w:val="0"/>
        <w:spacing w:line="560" w:lineRule="exact"/>
        <w:ind w:right="14" w:rightChars="6" w:firstLine="640" w:firstLineChars="200"/>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无。</w:t>
      </w:r>
    </w:p>
    <w:p>
      <w:pPr>
        <w:spacing w:line="560" w:lineRule="exact"/>
        <w:ind w:right="77" w:firstLine="484"/>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以上信息，尚未经公司董事会审批。</w:t>
      </w:r>
    </w:p>
    <w:p>
      <w:pPr>
        <w:spacing w:line="560" w:lineRule="exact"/>
        <w:ind w:right="77" w:firstLine="484"/>
        <w:jc w:val="both"/>
        <w:rPr>
          <w:rFonts w:ascii="仿宋_GB2312" w:hAnsi="仿宋" w:eastAsia="仿宋_GB2312" w:cs="仿宋"/>
          <w:sz w:val="32"/>
          <w:szCs w:val="32"/>
          <w:lang w:eastAsia="zh-CN"/>
        </w:rPr>
      </w:pPr>
    </w:p>
    <w:p>
      <w:pPr>
        <w:spacing w:line="560" w:lineRule="exact"/>
        <w:ind w:right="77" w:firstLine="484"/>
        <w:jc w:val="both"/>
        <w:rPr>
          <w:rFonts w:ascii="仿宋_GB2312" w:hAnsi="仿宋" w:eastAsia="仿宋_GB2312" w:cs="仿宋"/>
          <w:sz w:val="32"/>
          <w:szCs w:val="32"/>
          <w:lang w:eastAsia="zh-CN"/>
        </w:rPr>
      </w:pPr>
    </w:p>
    <w:p>
      <w:pPr>
        <w:spacing w:line="560" w:lineRule="exact"/>
        <w:ind w:right="77" w:firstLine="4800" w:firstLineChars="15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东平铁路有限责任公司</w:t>
      </w:r>
    </w:p>
    <w:p>
      <w:pPr>
        <w:spacing w:line="560" w:lineRule="exact"/>
        <w:ind w:right="77" w:firstLine="5120" w:firstLineChars="1600"/>
        <w:jc w:val="both"/>
        <w:rPr>
          <w:rFonts w:ascii="仿宋_GB2312" w:hAnsi="仿宋" w:eastAsia="仿宋_GB2312" w:cs="仿宋"/>
          <w:sz w:val="32"/>
          <w:szCs w:val="32"/>
          <w:lang w:eastAsia="zh-CN"/>
        </w:rPr>
      </w:pPr>
      <w:r>
        <w:rPr>
          <w:rFonts w:hint="eastAsia" w:ascii="仿宋_GB2312" w:hAnsi="仿宋" w:eastAsia="仿宋_GB2312" w:cs="仿宋"/>
          <w:sz w:val="32"/>
          <w:szCs w:val="32"/>
          <w:lang w:eastAsia="zh-CN"/>
        </w:rPr>
        <w:t>2</w:t>
      </w:r>
      <w:r>
        <w:rPr>
          <w:rFonts w:ascii="仿宋_GB2312" w:hAnsi="仿宋" w:eastAsia="仿宋_GB2312" w:cs="仿宋"/>
          <w:sz w:val="32"/>
          <w:szCs w:val="32"/>
          <w:lang w:eastAsia="zh-CN"/>
        </w:rPr>
        <w:t>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lang w:eastAsia="zh-CN"/>
        </w:rPr>
        <w:t>年6月</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lang w:eastAsia="zh-CN"/>
        </w:rPr>
        <w:t>5日</w:t>
      </w:r>
    </w:p>
    <w:p>
      <w:pPr>
        <w:rPr>
          <w:lang w:eastAsia="zh-CN"/>
        </w:rPr>
      </w:pPr>
    </w:p>
    <w:sectPr>
      <w:footerReference r:id="rId5" w:type="default"/>
      <w:footerReference r:id="rId6" w:type="even"/>
      <w:pgSz w:w="11900" w:h="16840"/>
      <w:pgMar w:top="2098" w:right="1474" w:bottom="1985" w:left="1588" w:header="1423" w:footer="760" w:gutter="0"/>
      <w:pgNumType w:fmt="numberInDash"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285020"/>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7154877"/>
      <w:docPartObj>
        <w:docPartGallery w:val="autotext"/>
      </w:docPartObj>
    </w:sdtPr>
    <w:sdtEndPr>
      <w:rPr>
        <w:rFonts w:ascii="宋体" w:hAnsi="宋体" w:eastAsia="宋体"/>
        <w:sz w:val="28"/>
        <w:szCs w:val="28"/>
      </w:rPr>
    </w:sdtEndPr>
    <w:sdtContent>
      <w:p>
        <w:pPr>
          <w:pStyle w:val="2"/>
          <w:ind w:right="72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- 10 -</w:t>
        </w:r>
        <w:r>
          <w:rPr>
            <w:rFonts w:ascii="宋体" w:hAnsi="宋体" w:eastAsia="宋体"/>
            <w:sz w:val="28"/>
            <w:szCs w:val="28"/>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MWYzM2Q4OTVmYjY3ZTQ0Zjc4MDI2MTdiMWE4ZGQifQ=="/>
  </w:docVars>
  <w:rsids>
    <w:rsidRoot w:val="00A90C11"/>
    <w:rsid w:val="000148A8"/>
    <w:rsid w:val="000320EB"/>
    <w:rsid w:val="00062B04"/>
    <w:rsid w:val="000F2588"/>
    <w:rsid w:val="000F4325"/>
    <w:rsid w:val="001B3B3E"/>
    <w:rsid w:val="00266CB4"/>
    <w:rsid w:val="002D40A7"/>
    <w:rsid w:val="0031624D"/>
    <w:rsid w:val="00392EB4"/>
    <w:rsid w:val="003D251D"/>
    <w:rsid w:val="00405DD6"/>
    <w:rsid w:val="00452BD0"/>
    <w:rsid w:val="00460739"/>
    <w:rsid w:val="0046077D"/>
    <w:rsid w:val="00593F06"/>
    <w:rsid w:val="00677AE0"/>
    <w:rsid w:val="006E23B7"/>
    <w:rsid w:val="007008D4"/>
    <w:rsid w:val="00753C57"/>
    <w:rsid w:val="00861DAB"/>
    <w:rsid w:val="00863268"/>
    <w:rsid w:val="00932D92"/>
    <w:rsid w:val="00A90C11"/>
    <w:rsid w:val="00A92035"/>
    <w:rsid w:val="00BD40D3"/>
    <w:rsid w:val="00C850F2"/>
    <w:rsid w:val="00CA77C5"/>
    <w:rsid w:val="00CF56BA"/>
    <w:rsid w:val="00D76641"/>
    <w:rsid w:val="00E568F1"/>
    <w:rsid w:val="00ED3BDA"/>
    <w:rsid w:val="00FE1B66"/>
    <w:rsid w:val="013C57C1"/>
    <w:rsid w:val="066C6237"/>
    <w:rsid w:val="09392F63"/>
    <w:rsid w:val="097C7922"/>
    <w:rsid w:val="0AA64689"/>
    <w:rsid w:val="0FD07872"/>
    <w:rsid w:val="11BC5054"/>
    <w:rsid w:val="13EC536C"/>
    <w:rsid w:val="14BC63CC"/>
    <w:rsid w:val="19A25A0C"/>
    <w:rsid w:val="1ED92F13"/>
    <w:rsid w:val="1F3D2BA1"/>
    <w:rsid w:val="1FD323F2"/>
    <w:rsid w:val="20DA182C"/>
    <w:rsid w:val="23DB7146"/>
    <w:rsid w:val="25A562F7"/>
    <w:rsid w:val="26D17390"/>
    <w:rsid w:val="29244EBA"/>
    <w:rsid w:val="2A9E766D"/>
    <w:rsid w:val="2B7D1EF0"/>
    <w:rsid w:val="2D552392"/>
    <w:rsid w:val="2E3C1BBC"/>
    <w:rsid w:val="31CF04BC"/>
    <w:rsid w:val="3396092E"/>
    <w:rsid w:val="34EE0DCD"/>
    <w:rsid w:val="36245075"/>
    <w:rsid w:val="397A15B2"/>
    <w:rsid w:val="3C950565"/>
    <w:rsid w:val="3CC36ECD"/>
    <w:rsid w:val="3D937FF6"/>
    <w:rsid w:val="3E335AE1"/>
    <w:rsid w:val="3E9E746C"/>
    <w:rsid w:val="421F7F53"/>
    <w:rsid w:val="42293D69"/>
    <w:rsid w:val="42B04115"/>
    <w:rsid w:val="44F51692"/>
    <w:rsid w:val="48A96788"/>
    <w:rsid w:val="495856DC"/>
    <w:rsid w:val="496B7F64"/>
    <w:rsid w:val="4B424154"/>
    <w:rsid w:val="4C49688B"/>
    <w:rsid w:val="4E0D3328"/>
    <w:rsid w:val="4F6B760D"/>
    <w:rsid w:val="4F88112A"/>
    <w:rsid w:val="50614146"/>
    <w:rsid w:val="51DC19E0"/>
    <w:rsid w:val="538B7116"/>
    <w:rsid w:val="54210ABC"/>
    <w:rsid w:val="5491738D"/>
    <w:rsid w:val="577D1623"/>
    <w:rsid w:val="57B67C8D"/>
    <w:rsid w:val="5A657D64"/>
    <w:rsid w:val="5AA8017D"/>
    <w:rsid w:val="5ACD5457"/>
    <w:rsid w:val="5BF141C0"/>
    <w:rsid w:val="5C0D1BAE"/>
    <w:rsid w:val="5DEF6039"/>
    <w:rsid w:val="621A70B3"/>
    <w:rsid w:val="64EB7DBE"/>
    <w:rsid w:val="67545BAD"/>
    <w:rsid w:val="682B7D01"/>
    <w:rsid w:val="68E679A2"/>
    <w:rsid w:val="69FB706B"/>
    <w:rsid w:val="6A8C3707"/>
    <w:rsid w:val="6D050669"/>
    <w:rsid w:val="6DA24607"/>
    <w:rsid w:val="71711009"/>
    <w:rsid w:val="71FC4D8C"/>
    <w:rsid w:val="750330B6"/>
    <w:rsid w:val="75621BD5"/>
    <w:rsid w:val="771A653E"/>
    <w:rsid w:val="7722283A"/>
    <w:rsid w:val="79836B0A"/>
    <w:rsid w:val="7BF1074D"/>
    <w:rsid w:val="7D0902CB"/>
    <w:rsid w:val="7D9702B2"/>
    <w:rsid w:val="7DDA1B02"/>
    <w:rsid w:val="7E22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Heading #1|1_"/>
    <w:basedOn w:val="5"/>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Heading #1|1"/>
    <w:basedOn w:val="1"/>
    <w:link w:val="6"/>
    <w:qFormat/>
    <w:uiPriority w:val="0"/>
    <w:pPr>
      <w:spacing w:after="350"/>
      <w:jc w:val="center"/>
      <w:outlineLvl w:val="0"/>
    </w:pPr>
    <w:rPr>
      <w:rFonts w:ascii="宋体" w:hAnsi="宋体" w:eastAsia="宋体" w:cs="宋体"/>
      <w:sz w:val="42"/>
      <w:szCs w:val="42"/>
      <w:lang w:val="zh-TW" w:eastAsia="zh-TW" w:bidi="zh-TW"/>
    </w:rPr>
  </w:style>
  <w:style w:type="character" w:customStyle="1" w:styleId="8">
    <w:name w:val="Table caption|1_"/>
    <w:basedOn w:val="5"/>
    <w:link w:val="9"/>
    <w:qFormat/>
    <w:uiPriority w:val="0"/>
    <w:rPr>
      <w:rFonts w:ascii="宋体" w:hAnsi="宋体" w:eastAsia="宋体" w:cs="宋体"/>
      <w:sz w:val="20"/>
      <w:szCs w:val="20"/>
      <w:u w:val="none"/>
      <w:shd w:val="clear" w:color="auto" w:fill="auto"/>
      <w:lang w:val="zh-TW" w:eastAsia="zh-TW" w:bidi="zh-TW"/>
    </w:rPr>
  </w:style>
  <w:style w:type="paragraph" w:customStyle="1" w:styleId="9">
    <w:name w:val="Table caption|1"/>
    <w:basedOn w:val="1"/>
    <w:link w:val="8"/>
    <w:qFormat/>
    <w:uiPriority w:val="0"/>
    <w:rPr>
      <w:rFonts w:ascii="宋体" w:hAnsi="宋体" w:eastAsia="宋体" w:cs="宋体"/>
      <w:sz w:val="20"/>
      <w:szCs w:val="20"/>
      <w:lang w:val="zh-TW" w:eastAsia="zh-TW" w:bidi="zh-TW"/>
    </w:rPr>
  </w:style>
  <w:style w:type="character" w:customStyle="1" w:styleId="10">
    <w:name w:val="Other|1_"/>
    <w:basedOn w:val="5"/>
    <w:link w:val="11"/>
    <w:qFormat/>
    <w:uiPriority w:val="0"/>
    <w:rPr>
      <w:sz w:val="30"/>
      <w:szCs w:val="30"/>
      <w:u w:val="none"/>
      <w:shd w:val="clear" w:color="auto" w:fill="auto"/>
    </w:rPr>
  </w:style>
  <w:style w:type="paragraph" w:customStyle="1" w:styleId="11">
    <w:name w:val="Other|1"/>
    <w:basedOn w:val="1"/>
    <w:link w:val="10"/>
    <w:qFormat/>
    <w:uiPriority w:val="0"/>
    <w:rPr>
      <w:sz w:val="30"/>
      <w:szCs w:val="30"/>
    </w:rPr>
  </w:style>
  <w:style w:type="character" w:customStyle="1" w:styleId="12">
    <w:name w:val="页眉 Char"/>
    <w:basedOn w:val="5"/>
    <w:link w:val="3"/>
    <w:qFormat/>
    <w:uiPriority w:val="0"/>
    <w:rPr>
      <w:rFonts w:eastAsia="Times New Roman"/>
      <w:color w:val="000000"/>
      <w:sz w:val="18"/>
      <w:szCs w:val="18"/>
      <w:lang w:eastAsia="en-US" w:bidi="en-US"/>
    </w:rPr>
  </w:style>
  <w:style w:type="character" w:customStyle="1" w:styleId="13">
    <w:name w:val="页脚 Char"/>
    <w:basedOn w:val="5"/>
    <w:link w:val="2"/>
    <w:qFormat/>
    <w:uiPriority w:val="99"/>
    <w:rPr>
      <w:rFonts w:eastAsia="Times New Roman"/>
      <w:color w:val="000000"/>
      <w:sz w:val="18"/>
      <w:szCs w:val="18"/>
      <w:lang w:eastAsia="en-US" w:bidi="en-US"/>
    </w:rPr>
  </w:style>
  <w:style w:type="table" w:customStyle="1" w:styleId="14">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3662</Words>
  <Characters>3883</Characters>
  <Lines>32</Lines>
  <Paragraphs>9</Paragraphs>
  <TotalTime>18</TotalTime>
  <ScaleCrop>false</ScaleCrop>
  <LinksUpToDate>false</LinksUpToDate>
  <CharactersWithSpaces>3935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2022-04-21T10:18:00Z</dcterms:created>
  <dc:creator>sdtl</dc:creator>
  <cp:lastModifiedBy>董春千</cp:lastModifiedBy>
  <dcterms:modified xsi:type="dcterms:W3CDTF">2024-06-25T01:57:27Z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676601F34AF04157929FB18769D1B5E8</vt:lpwstr>
  </property>
</Properties>
</file>