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lang w:val="zh-CN" w:bidi="zh-CN"/>
        </w:rPr>
      </w:pPr>
      <w:bookmarkStart w:id="0" w:name="bookmark2"/>
      <w:bookmarkStart w:id="1" w:name="bookmark0"/>
      <w:bookmarkStart w:id="2" w:name="bookmark1"/>
      <w:r>
        <w:rPr>
          <w:rFonts w:hint="eastAsia" w:ascii="方正小标宋简体" w:eastAsia="方正小标宋简体"/>
          <w:sz w:val="44"/>
          <w:szCs w:val="44"/>
          <w:lang w:val="zh-CN" w:bidi="zh-CN"/>
        </w:rPr>
        <w:t>沂沭铁路公司</w:t>
      </w:r>
      <w:r>
        <w:rPr>
          <w:rFonts w:hint="eastAsia" w:ascii="方正小标宋简体" w:eastAsia="方正小标宋简体"/>
          <w:sz w:val="44"/>
          <w:szCs w:val="44"/>
          <w:lang w:bidi="zh-CN"/>
        </w:rPr>
        <w:t>年度信息</w:t>
      </w:r>
      <w:r>
        <w:rPr>
          <w:rFonts w:hint="eastAsia" w:ascii="方正小标宋简体" w:eastAsia="方正小标宋简体"/>
          <w:sz w:val="44"/>
          <w:szCs w:val="44"/>
          <w:lang w:val="zh-CN" w:bidi="zh-CN"/>
        </w:rPr>
        <w:t>公开信息</w:t>
      </w:r>
    </w:p>
    <w:p>
      <w:pPr>
        <w:spacing w:line="580" w:lineRule="exact"/>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 xml:space="preserve">一、工商注册登记等公司基本信息 </w:t>
      </w:r>
    </w:p>
    <w:p>
      <w:pPr>
        <w:spacing w:line="580" w:lineRule="exact"/>
        <w:ind w:firstLine="707" w:firstLineChars="221"/>
        <w:rPr>
          <w:rFonts w:ascii="楷体_GB2312" w:hAnsi="黑体" w:eastAsia="楷体_GB2312" w:cs="黑体"/>
          <w:sz w:val="32"/>
          <w:szCs w:val="32"/>
        </w:rPr>
      </w:pPr>
      <w:r>
        <w:rPr>
          <w:rFonts w:hint="eastAsia" w:ascii="楷体_GB2312" w:hAnsi="黑体" w:eastAsia="楷体_GB2312" w:cs="黑体"/>
          <w:sz w:val="32"/>
          <w:szCs w:val="32"/>
        </w:rPr>
        <w:t xml:space="preserve">（一）公司简介 </w:t>
      </w:r>
    </w:p>
    <w:p>
      <w:pPr>
        <w:spacing w:line="580" w:lineRule="exact"/>
        <w:ind w:firstLine="707" w:firstLineChars="221"/>
        <w:rPr>
          <w:rFonts w:ascii="仿宋_GB2312" w:hAnsi="黑体" w:eastAsia="仿宋_GB2312"/>
          <w:sz w:val="32"/>
          <w:szCs w:val="28"/>
        </w:rPr>
      </w:pPr>
      <w:r>
        <w:rPr>
          <w:rFonts w:ascii="仿宋_GB2312" w:hAnsi="黑体" w:eastAsia="仿宋_GB2312"/>
          <w:sz w:val="32"/>
          <w:szCs w:val="28"/>
        </w:rPr>
        <w:t>沂沭铁路自胶新线梅家埠站接轨，至临沭站，管辖临沭站，全长19.25 公里，于2015年12月16日建成通车。按照山东省委、省政府和国家铁路集团“一省一公司”的重大决策部署，</w:t>
      </w:r>
      <w:r>
        <w:rPr>
          <w:rFonts w:hint="eastAsia" w:ascii="仿宋" w:hAnsi="仿宋" w:eastAsia="仿宋" w:cs="仿宋"/>
          <w:sz w:val="32"/>
          <w:szCs w:val="32"/>
        </w:rPr>
        <w:t>沂沭</w:t>
      </w:r>
      <w:r>
        <w:rPr>
          <w:rFonts w:ascii="仿宋_GB2312" w:hAnsi="黑体" w:eastAsia="仿宋_GB2312"/>
          <w:sz w:val="32"/>
          <w:szCs w:val="28"/>
        </w:rPr>
        <w:t>铁路有限责任公司</w:t>
      </w:r>
      <w:r>
        <w:rPr>
          <w:rFonts w:hint="eastAsia" w:ascii="仿宋_GB2312" w:hAnsi="黑体" w:eastAsia="仿宋_GB2312"/>
          <w:sz w:val="32"/>
          <w:szCs w:val="28"/>
          <w:lang w:val="en-US" w:eastAsia="zh-CN"/>
        </w:rPr>
        <w:t>于2020年7月</w:t>
      </w:r>
      <w:r>
        <w:rPr>
          <w:rFonts w:ascii="仿宋_GB2312" w:hAnsi="黑体" w:eastAsia="仿宋_GB2312"/>
          <w:sz w:val="32"/>
          <w:szCs w:val="28"/>
        </w:rPr>
        <w:t>由中国铁路济南局集团有限公司移交山东铁路有限公司。</w:t>
      </w:r>
    </w:p>
    <w:p>
      <w:pPr>
        <w:spacing w:line="580" w:lineRule="exact"/>
        <w:ind w:firstLine="707" w:firstLineChars="221"/>
        <w:rPr>
          <w:rFonts w:ascii="黑体" w:hAnsi="黑体" w:eastAsia="黑体" w:cs="黑体"/>
          <w:sz w:val="32"/>
          <w:szCs w:val="32"/>
        </w:rPr>
      </w:pPr>
      <w:r>
        <w:rPr>
          <w:rFonts w:hint="eastAsia" w:ascii="楷体_GB2312" w:hAnsi="黑体" w:eastAsia="楷体_GB2312" w:cs="黑体"/>
          <w:sz w:val="32"/>
          <w:szCs w:val="32"/>
        </w:rPr>
        <w:t>（二）公司注册信息</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公司名称：</w:t>
      </w:r>
      <w:r>
        <w:rPr>
          <w:rFonts w:hint="eastAsia" w:ascii="仿宋" w:hAnsi="仿宋" w:eastAsia="仿宋" w:cs="仿宋"/>
          <w:sz w:val="32"/>
          <w:szCs w:val="32"/>
        </w:rPr>
        <w:t>沂沭铁路有限责任公司</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法定代表人：</w:t>
      </w:r>
      <w:r>
        <w:rPr>
          <w:rFonts w:hint="eastAsia" w:ascii="仿宋" w:hAnsi="仿宋" w:eastAsia="仿宋" w:cs="仿宋"/>
          <w:sz w:val="32"/>
          <w:szCs w:val="32"/>
        </w:rPr>
        <w:t>王炎义</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统一社会信用代码：</w:t>
      </w:r>
      <w:r>
        <w:rPr>
          <w:rFonts w:hint="eastAsia" w:ascii="仿宋" w:hAnsi="仿宋" w:eastAsia="仿宋" w:cs="仿宋"/>
          <w:sz w:val="32"/>
          <w:szCs w:val="32"/>
        </w:rPr>
        <w:t>91370000567704551Q</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营业期限：</w:t>
      </w:r>
      <w:r>
        <w:rPr>
          <w:rFonts w:hint="eastAsia" w:ascii="仿宋" w:hAnsi="仿宋" w:eastAsia="仿宋" w:cs="仿宋"/>
          <w:sz w:val="32"/>
          <w:szCs w:val="32"/>
        </w:rPr>
        <w:t>2010-12-27至2060-12-27</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注册资本：</w:t>
      </w:r>
      <w:r>
        <w:rPr>
          <w:rFonts w:hint="eastAsia" w:ascii="仿宋_GB2312" w:eastAsia="仿宋_GB2312"/>
          <w:sz w:val="32"/>
          <w:szCs w:val="32"/>
        </w:rPr>
        <w:t>39195</w:t>
      </w:r>
      <w:r>
        <w:rPr>
          <w:rFonts w:eastAsia="仿宋_GB2312"/>
          <w:sz w:val="32"/>
          <w:szCs w:val="32"/>
        </w:rPr>
        <w:t>万元</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公司类型：</w:t>
      </w:r>
      <w:r>
        <w:rPr>
          <w:rFonts w:hint="eastAsia" w:ascii="仿宋" w:hAnsi="仿宋" w:eastAsia="仿宋" w:cs="仿宋"/>
          <w:sz w:val="32"/>
          <w:szCs w:val="32"/>
        </w:rPr>
        <w:t>有限责任公司（国有控股）</w:t>
      </w:r>
      <w:r>
        <w:rPr>
          <w:rFonts w:hint="eastAsia"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登记机关：</w:t>
      </w:r>
      <w:r>
        <w:rPr>
          <w:rFonts w:hint="eastAsia" w:ascii="仿宋" w:hAnsi="仿宋" w:eastAsia="仿宋" w:cs="仿宋"/>
          <w:sz w:val="32"/>
          <w:szCs w:val="32"/>
        </w:rPr>
        <w:t>山东省市场监督管理局</w:t>
      </w:r>
      <w:r>
        <w:rPr>
          <w:rFonts w:hint="eastAsia" w:ascii="仿宋" w:hAnsi="仿宋" w:eastAsia="仿宋" w:cs="仿宋"/>
          <w:sz w:val="32"/>
          <w:szCs w:val="32"/>
        </w:rPr>
        <w:tab/>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注册地址：</w:t>
      </w:r>
      <w:r>
        <w:rPr>
          <w:rFonts w:hint="eastAsia" w:ascii="仿宋" w:hAnsi="仿宋" w:eastAsia="仿宋" w:cs="仿宋"/>
          <w:sz w:val="32"/>
          <w:szCs w:val="32"/>
        </w:rPr>
        <w:t>山东省临沂市临沭县泰安路</w:t>
      </w:r>
    </w:p>
    <w:p>
      <w:pPr>
        <w:spacing w:line="580" w:lineRule="exact"/>
        <w:ind w:firstLine="640" w:firstLineChars="200"/>
        <w:rPr>
          <w:rFonts w:ascii="仿宋" w:hAnsi="仿宋" w:eastAsia="仿宋" w:cs="仿宋"/>
          <w:sz w:val="32"/>
          <w:szCs w:val="32"/>
        </w:rPr>
      </w:pPr>
      <w:r>
        <w:rPr>
          <w:rFonts w:hint="eastAsia" w:ascii="楷体" w:hAnsi="楷体" w:eastAsia="楷体" w:cs="楷体"/>
          <w:sz w:val="32"/>
          <w:szCs w:val="32"/>
        </w:rPr>
        <w:t>经营范围：</w:t>
      </w:r>
      <w:r>
        <w:rPr>
          <w:rFonts w:hint="eastAsia" w:eastAsia="仿宋_GB2312"/>
          <w:sz w:val="32"/>
          <w:szCs w:val="32"/>
        </w:rPr>
        <w:t>沂沭铁路的建设和货物运输，仓储（不含危险品）。（依法须经批准的项目，经相关部门批准后方可开展经营活动）</w:t>
      </w:r>
    </w:p>
    <w:p>
      <w:pPr>
        <w:spacing w:line="580" w:lineRule="exact"/>
        <w:ind w:firstLine="707" w:firstLineChars="221"/>
        <w:rPr>
          <w:rFonts w:ascii="楷体_GB2312" w:hAnsi="黑体" w:eastAsia="楷体_GB2312" w:cs="黑体"/>
          <w:sz w:val="32"/>
          <w:szCs w:val="32"/>
        </w:rPr>
      </w:pPr>
      <w:r>
        <w:rPr>
          <w:rFonts w:hint="eastAsia" w:ascii="楷体_GB2312" w:hAnsi="黑体" w:eastAsia="楷体_GB2312" w:cs="黑体"/>
          <w:sz w:val="32"/>
          <w:szCs w:val="32"/>
        </w:rPr>
        <w:t>（三）股东（发起人）信息</w:t>
      </w:r>
    </w:p>
    <w:p>
      <w:pPr>
        <w:snapToGrid w:val="0"/>
        <w:spacing w:line="580" w:lineRule="exact"/>
        <w:ind w:firstLine="640" w:firstLineChars="200"/>
        <w:rPr>
          <w:rFonts w:ascii="仿宋_GB2312" w:eastAsia="仿宋_GB2312"/>
          <w:sz w:val="32"/>
          <w:szCs w:val="32"/>
        </w:rPr>
      </w:pPr>
      <w:r>
        <w:rPr>
          <w:rFonts w:hint="eastAsia" w:ascii="仿宋_GB2312" w:hAnsi="黑体" w:eastAsia="仿宋_GB2312"/>
          <w:sz w:val="32"/>
          <w:szCs w:val="28"/>
        </w:rPr>
        <w:t>山东铁路有限公司，</w:t>
      </w:r>
      <w:r>
        <w:rPr>
          <w:rFonts w:hint="eastAsia" w:eastAsia="仿宋_GB2312"/>
          <w:sz w:val="32"/>
          <w:szCs w:val="32"/>
        </w:rPr>
        <w:t>出资3.06577亿元，占公司注册资本的78.22％；</w:t>
      </w:r>
    </w:p>
    <w:p>
      <w:pPr>
        <w:snapToGrid w:val="0"/>
        <w:spacing w:line="560" w:lineRule="exact"/>
        <w:ind w:firstLine="640" w:firstLineChars="200"/>
        <w:rPr>
          <w:rFonts w:ascii="仿宋_GB2312" w:eastAsia="仿宋_GB2312"/>
          <w:sz w:val="32"/>
          <w:szCs w:val="32"/>
        </w:rPr>
      </w:pPr>
      <w:r>
        <w:rPr>
          <w:rFonts w:hint="eastAsia" w:eastAsia="仿宋_GB2312"/>
          <w:sz w:val="32"/>
          <w:szCs w:val="32"/>
        </w:rPr>
        <w:t>临沭融达投资有限公司</w:t>
      </w:r>
      <w:r>
        <w:rPr>
          <w:rFonts w:hint="eastAsia" w:ascii="仿宋_GB2312" w:hAnsi="黑体" w:eastAsia="仿宋_GB2312"/>
          <w:sz w:val="32"/>
          <w:szCs w:val="28"/>
        </w:rPr>
        <w:t>，</w:t>
      </w:r>
      <w:r>
        <w:rPr>
          <w:rFonts w:hint="eastAsia" w:eastAsia="仿宋_GB2312"/>
          <w:sz w:val="32"/>
          <w:szCs w:val="32"/>
        </w:rPr>
        <w:t>出资0.85373亿元，占公司注册资本的21.78％。</w:t>
      </w:r>
    </w:p>
    <w:p>
      <w:pPr>
        <w:spacing w:line="580" w:lineRule="exact"/>
        <w:ind w:firstLine="707" w:firstLineChars="221"/>
        <w:rPr>
          <w:rFonts w:ascii="楷体_GB2312" w:hAnsi="黑体" w:eastAsia="楷体_GB2312" w:cs="黑体"/>
          <w:sz w:val="32"/>
          <w:szCs w:val="32"/>
        </w:rPr>
      </w:pPr>
      <w:r>
        <w:rPr>
          <w:rFonts w:hint="eastAsia" w:ascii="楷体_GB2312" w:hAnsi="黑体" w:eastAsia="楷体_GB2312" w:cs="黑体"/>
          <w:sz w:val="32"/>
          <w:szCs w:val="32"/>
        </w:rPr>
        <w:t>（四）公司治理及主要人员信息</w:t>
      </w:r>
    </w:p>
    <w:tbl>
      <w:tblPr>
        <w:tblStyle w:val="4"/>
        <w:tblW w:w="81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271"/>
        <w:gridCol w:w="2715"/>
        <w:gridCol w:w="3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董事会组成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王炎义</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董事长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张光岩</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rPr>
              <w:t>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于世玮</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职工董事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监事会组成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袁京廷</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color w:val="000000"/>
                <w:kern w:val="0"/>
                <w:sz w:val="28"/>
                <w:szCs w:val="28"/>
              </w:rPr>
              <w:t>监事</w:t>
            </w:r>
            <w:r>
              <w:rPr>
                <w:rFonts w:hint="eastAsia" w:ascii="仿宋" w:hAnsi="仿宋" w:eastAsia="仿宋" w:cs="仿宋"/>
                <w:color w:val="000000"/>
                <w:kern w:val="0"/>
                <w:sz w:val="28"/>
                <w:szCs w:val="28"/>
                <w:lang w:val="en-US" w:eastAsia="zh-CN"/>
              </w:rPr>
              <w:t>会主席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闫军</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董春千</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职工监事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restart"/>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经理层组成</w:t>
            </w: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姓名</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职务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王炎义</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总经理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2271" w:type="dxa"/>
            <w:vMerge w:val="continue"/>
            <w:tcBorders>
              <w:tl2br w:val="nil"/>
              <w:tr2bl w:val="nil"/>
            </w:tcBorders>
            <w:shd w:val="clear" w:color="auto" w:fill="auto"/>
            <w:tcMar>
              <w:top w:w="15" w:type="dxa"/>
              <w:left w:w="15" w:type="dxa"/>
              <w:right w:w="15" w:type="dxa"/>
            </w:tcMar>
            <w:vAlign w:val="center"/>
          </w:tcPr>
          <w:p>
            <w:pPr>
              <w:jc w:val="center"/>
              <w:rPr>
                <w:rFonts w:ascii="仿宋" w:hAnsi="仿宋" w:eastAsia="仿宋" w:cs="仿宋"/>
                <w:b/>
                <w:color w:val="000000"/>
                <w:sz w:val="28"/>
                <w:szCs w:val="28"/>
              </w:rPr>
            </w:pPr>
          </w:p>
        </w:tc>
        <w:tc>
          <w:tcPr>
            <w:tcW w:w="27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于世玮</w:t>
            </w:r>
          </w:p>
        </w:tc>
        <w:tc>
          <w:tcPr>
            <w:tcW w:w="315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副总经理</w:t>
            </w:r>
          </w:p>
        </w:tc>
      </w:tr>
    </w:tbl>
    <w:p>
      <w:pPr>
        <w:autoSpaceDE w:val="0"/>
        <w:autoSpaceDN w:val="0"/>
        <w:adjustRightInd w:val="0"/>
        <w:snapToGrid w:val="0"/>
        <w:spacing w:line="600" w:lineRule="exact"/>
        <w:ind w:right="13" w:rightChars="6" w:firstLine="645"/>
        <w:rPr>
          <w:rFonts w:ascii="黑体" w:hAnsi="黑体" w:eastAsia="黑体" w:cs="黑体"/>
          <w:color w:val="000000"/>
          <w:kern w:val="0"/>
          <w:sz w:val="32"/>
          <w:szCs w:val="32"/>
        </w:rPr>
      </w:pPr>
      <w:r>
        <w:rPr>
          <w:rFonts w:hint="eastAsia" w:ascii="黑体" w:hAnsi="黑体" w:eastAsia="黑体" w:cs="黑体"/>
          <w:color w:val="000000"/>
          <w:kern w:val="0"/>
          <w:sz w:val="32"/>
          <w:szCs w:val="32"/>
        </w:rPr>
        <w:t>二、主要会计数据和财务指标情况</w:t>
      </w:r>
    </w:p>
    <w:tbl>
      <w:tblPr>
        <w:tblStyle w:val="4"/>
        <w:tblW w:w="7463" w:type="dxa"/>
        <w:jc w:val="center"/>
        <w:tblLayout w:type="fixed"/>
        <w:tblCellMar>
          <w:top w:w="0" w:type="dxa"/>
          <w:left w:w="108" w:type="dxa"/>
          <w:bottom w:w="0" w:type="dxa"/>
          <w:right w:w="108" w:type="dxa"/>
        </w:tblCellMar>
      </w:tblPr>
      <w:tblGrid>
        <w:gridCol w:w="3563"/>
        <w:gridCol w:w="3900"/>
      </w:tblGrid>
      <w:tr>
        <w:tblPrEx>
          <w:tblCellMar>
            <w:top w:w="0" w:type="dxa"/>
            <w:left w:w="108" w:type="dxa"/>
            <w:bottom w:w="0" w:type="dxa"/>
            <w:right w:w="108" w:type="dxa"/>
          </w:tblCellMar>
        </w:tblPrEx>
        <w:trPr>
          <w:trHeight w:val="600" w:hRule="atLeast"/>
          <w:jc w:val="center"/>
        </w:trPr>
        <w:tc>
          <w:tcPr>
            <w:tcW w:w="35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w:t>
            </w:r>
          </w:p>
        </w:tc>
        <w:tc>
          <w:tcPr>
            <w:tcW w:w="3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202</w:t>
            </w:r>
            <w:r>
              <w:rPr>
                <w:rFonts w:hint="eastAsia" w:ascii="仿宋_GB2312" w:hAnsi="等线" w:eastAsia="仿宋_GB2312" w:cs="宋体"/>
                <w:b/>
                <w:bCs/>
                <w:color w:val="000000"/>
                <w:kern w:val="0"/>
                <w:szCs w:val="21"/>
                <w:lang w:val="en-US" w:eastAsia="zh-CN"/>
              </w:rPr>
              <w:t>3</w:t>
            </w:r>
            <w:r>
              <w:rPr>
                <w:rFonts w:hint="eastAsia" w:ascii="仿宋_GB2312" w:hAnsi="等线" w:eastAsia="仿宋_GB2312" w:cs="宋体"/>
                <w:b/>
                <w:bCs/>
                <w:color w:val="000000"/>
                <w:kern w:val="0"/>
                <w:szCs w:val="21"/>
              </w:rPr>
              <w:t>年度情况</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营业收入 </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1,330.00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营业成本</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1,874.00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销售费用</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eastAsia" w:ascii="等线" w:hAnsi="等线" w:eastAsia="等线" w:cs="等线"/>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管理费用</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6.00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财务费用</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1,598.00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营业利润</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-2,108.00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利润总额</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-2,185.00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净利润</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-2,185.00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营业利润率</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 w:val="32"/>
                <w:szCs w:val="32"/>
                <w:lang w:val="en-US" w:eastAsia="zh-CN" w:bidi="ar-SA"/>
              </w:rPr>
            </w:pPr>
            <w:r>
              <w:rPr>
                <w:rFonts w:hint="default" w:ascii="等线" w:hAnsi="等线" w:eastAsia="等线" w:cs="等线"/>
                <w:i w:val="0"/>
                <w:iCs w:val="0"/>
                <w:color w:val="000000"/>
                <w:kern w:val="0"/>
                <w:sz w:val="24"/>
                <w:szCs w:val="24"/>
                <w:u w:val="none"/>
                <w:lang w:val="en-US" w:eastAsia="zh-CN" w:bidi="ar"/>
              </w:rPr>
              <w:t>-158.50%</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净资产收益率</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 w:val="32"/>
                <w:szCs w:val="32"/>
                <w:lang w:val="en-US" w:eastAsia="zh-CN" w:bidi="ar-SA"/>
              </w:rPr>
            </w:pPr>
            <w:r>
              <w:rPr>
                <w:rFonts w:hint="default" w:ascii="等线" w:hAnsi="等线" w:eastAsia="等线" w:cs="等线"/>
                <w:i w:val="0"/>
                <w:iCs w:val="0"/>
                <w:color w:val="000000"/>
                <w:kern w:val="0"/>
                <w:sz w:val="24"/>
                <w:szCs w:val="24"/>
                <w:u w:val="none"/>
                <w:lang w:val="en-US" w:eastAsia="zh-CN" w:bidi="ar"/>
              </w:rPr>
              <w:t>-12.04%</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已交税费总额</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hAnsi="等线" w:eastAsia="仿宋_GB2312" w:cs="宋体"/>
                <w:color w:val="000000"/>
                <w:kern w:val="0"/>
                <w:szCs w:val="21"/>
                <w:lang w:val="en-US" w:eastAsia="zh-CN"/>
              </w:rPr>
            </w:pPr>
            <w:r>
              <w:rPr>
                <w:rFonts w:hint="eastAsia" w:ascii="等线" w:hAnsi="等线" w:eastAsia="等线" w:cs="等线"/>
                <w:i w:val="0"/>
                <w:iCs w:val="0"/>
                <w:color w:val="000000"/>
                <w:kern w:val="0"/>
                <w:sz w:val="24"/>
                <w:szCs w:val="24"/>
                <w:u w:val="none"/>
                <w:lang w:val="en-US" w:eastAsia="zh-CN" w:bidi="ar"/>
              </w:rPr>
              <w:t>34.00</w:t>
            </w:r>
          </w:p>
        </w:tc>
      </w:tr>
      <w:tr>
        <w:tblPrEx>
          <w:tblCellMar>
            <w:top w:w="0" w:type="dxa"/>
            <w:left w:w="108" w:type="dxa"/>
            <w:bottom w:w="0" w:type="dxa"/>
            <w:right w:w="108" w:type="dxa"/>
          </w:tblCellMar>
        </w:tblPrEx>
        <w:trPr>
          <w:trHeight w:val="600" w:hRule="atLeast"/>
          <w:jc w:val="center"/>
        </w:trPr>
        <w:tc>
          <w:tcPr>
            <w:tcW w:w="3563" w:type="dxa"/>
            <w:tcBorders>
              <w:top w:val="nil"/>
              <w:left w:val="nil"/>
              <w:bottom w:val="nil"/>
              <w:right w:val="nil"/>
            </w:tcBorders>
            <w:shd w:val="clear" w:color="auto" w:fill="auto"/>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 xml:space="preserve"> </w:t>
            </w:r>
          </w:p>
        </w:tc>
        <w:tc>
          <w:tcPr>
            <w:tcW w:w="3900" w:type="dxa"/>
            <w:tcBorders>
              <w:top w:val="nil"/>
              <w:left w:val="nil"/>
              <w:bottom w:val="nil"/>
              <w:right w:val="nil"/>
            </w:tcBorders>
            <w:shd w:val="clear" w:color="auto" w:fill="auto"/>
            <w:noWrap/>
            <w:vAlign w:val="center"/>
          </w:tcPr>
          <w:p>
            <w:pPr>
              <w:widowControl/>
              <w:jc w:val="center"/>
              <w:rPr>
                <w:rFonts w:ascii="仿宋_GB2312" w:hAnsi="等线" w:eastAsia="仿宋_GB2312" w:cs="宋体"/>
                <w:color w:val="000000"/>
                <w:kern w:val="0"/>
                <w:szCs w:val="21"/>
              </w:rPr>
            </w:pPr>
          </w:p>
        </w:tc>
      </w:tr>
      <w:tr>
        <w:tblPrEx>
          <w:tblCellMar>
            <w:top w:w="0" w:type="dxa"/>
            <w:left w:w="108" w:type="dxa"/>
            <w:bottom w:w="0" w:type="dxa"/>
            <w:right w:w="108" w:type="dxa"/>
          </w:tblCellMar>
        </w:tblPrEx>
        <w:trPr>
          <w:trHeight w:val="600" w:hRule="atLeast"/>
          <w:jc w:val="center"/>
        </w:trPr>
        <w:tc>
          <w:tcPr>
            <w:tcW w:w="3563"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项目</w:t>
            </w:r>
          </w:p>
        </w:tc>
        <w:tc>
          <w:tcPr>
            <w:tcW w:w="390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期末余额</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资产总额</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63,248.14</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负债总额</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45,096.89</w:t>
            </w:r>
          </w:p>
        </w:tc>
      </w:tr>
      <w:tr>
        <w:tblPrEx>
          <w:tblCellMar>
            <w:top w:w="0" w:type="dxa"/>
            <w:left w:w="108" w:type="dxa"/>
            <w:bottom w:w="0" w:type="dxa"/>
            <w:right w:w="108" w:type="dxa"/>
          </w:tblCellMar>
        </w:tblPrEx>
        <w:trPr>
          <w:trHeight w:val="600" w:hRule="atLeast"/>
          <w:jc w:val="center"/>
        </w:trPr>
        <w:tc>
          <w:tcPr>
            <w:tcW w:w="356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所有者权益总额</w:t>
            </w:r>
          </w:p>
        </w:tc>
        <w:tc>
          <w:tcPr>
            <w:tcW w:w="39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宋体"/>
                <w:color w:val="000000"/>
                <w:kern w:val="0"/>
                <w:szCs w:val="21"/>
              </w:rPr>
            </w:pPr>
            <w:r>
              <w:rPr>
                <w:rFonts w:hint="default" w:ascii="等线" w:hAnsi="等线" w:eastAsia="等线" w:cs="等线"/>
                <w:i w:val="0"/>
                <w:iCs w:val="0"/>
                <w:color w:val="000000"/>
                <w:kern w:val="0"/>
                <w:sz w:val="24"/>
                <w:szCs w:val="24"/>
                <w:u w:val="none"/>
                <w:lang w:val="en-US" w:eastAsia="zh-CN" w:bidi="ar"/>
              </w:rPr>
              <w:t>18,151.25</w:t>
            </w:r>
          </w:p>
        </w:tc>
      </w:tr>
    </w:tbl>
    <w:p>
      <w:pPr>
        <w:rPr>
          <w:rFonts w:ascii="仿宋_GB2312" w:eastAsia="仿宋_GB2312"/>
          <w:szCs w:val="21"/>
        </w:rPr>
      </w:pPr>
    </w:p>
    <w:p>
      <w:pPr>
        <w:autoSpaceDE w:val="0"/>
        <w:autoSpaceDN w:val="0"/>
        <w:adjustRightInd w:val="0"/>
        <w:snapToGrid w:val="0"/>
        <w:spacing w:line="560" w:lineRule="exact"/>
        <w:ind w:right="13" w:rightChars="6"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三、董事会报告摘要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是沂沭铁路有限责任公司改革发展的一年。董事会认真履行《公司法》和《公司章程》所赋予的职责，忠实执行股东会决议，诚实守信，勤勉尽职，以科学、严谨、审慎、客观的工作态度，积极参与各项重大事项的决策，努力维护公司及全体股东的合法权益，有力的保障了公司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年各项工作目标的顺利实现。</w:t>
      </w:r>
    </w:p>
    <w:p>
      <w:pPr>
        <w:spacing w:line="560" w:lineRule="exact"/>
        <w:ind w:firstLine="640" w:firstLineChars="200"/>
        <w:rPr>
          <w:rFonts w:ascii="仿宋_GB2312" w:hAnsi="仿宋_GB2312" w:eastAsia="仿宋_GB2312" w:cs="仿宋_GB2312"/>
          <w:bCs/>
          <w:kern w:val="1"/>
          <w:sz w:val="32"/>
          <w:szCs w:val="32"/>
        </w:rPr>
      </w:pPr>
      <w:r>
        <w:rPr>
          <w:rFonts w:hint="eastAsia" w:ascii="楷体_GB2312" w:hAnsi="楷体_GB2312" w:eastAsia="楷体_GB2312" w:cs="楷体_GB2312"/>
          <w:kern w:val="1"/>
          <w:sz w:val="32"/>
          <w:szCs w:val="32"/>
        </w:rPr>
        <w:t>1.</w:t>
      </w:r>
      <w:r>
        <w:rPr>
          <w:rFonts w:hint="eastAsia" w:ascii="楷体_GB2312" w:hAnsi="楷体_GB2312" w:eastAsia="楷体_GB2312" w:cs="楷体_GB2312"/>
          <w:sz w:val="32"/>
          <w:szCs w:val="32"/>
        </w:rPr>
        <w:t>推进临沭站货场改造工作。</w:t>
      </w:r>
      <w:r>
        <w:rPr>
          <w:rFonts w:hint="eastAsia" w:ascii="仿宋_GB2312" w:hAnsi="仿宋_GB2312" w:eastAsia="仿宋_GB2312" w:cs="仿宋_GB2312"/>
          <w:sz w:val="32"/>
          <w:szCs w:val="32"/>
        </w:rPr>
        <w:t>2023年1月1日，通过竞磋招标的永华国际物流有限公司顺利进驻临沭站货场，实行货场装卸业务自管自营。为进一步提高临沭站货物到发量，按照协议约定，由永华国际物流有限公司</w:t>
      </w:r>
      <w:r>
        <w:rPr>
          <w:rFonts w:hint="eastAsia" w:ascii="仿宋_GB2312" w:hAnsi="仿宋" w:eastAsia="仿宋_GB2312" w:cs="仿宋"/>
          <w:sz w:val="32"/>
          <w:szCs w:val="32"/>
        </w:rPr>
        <w:t>对部分货运设施进行提升改造。完成区域硬化项目</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接触网拆除项目</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改造项目完成后，协调临沂车务段向济南局货运部申报开办</w:t>
      </w:r>
      <w:r>
        <w:rPr>
          <w:rFonts w:hint="eastAsia" w:ascii="仿宋_GB2312" w:hAnsi="仿宋" w:eastAsia="仿宋_GB2312" w:cs="仿宋"/>
          <w:sz w:val="32"/>
          <w:szCs w:val="32"/>
          <w:lang w:val="en-US" w:eastAsia="zh-CN"/>
        </w:rPr>
        <w:t>了</w:t>
      </w:r>
      <w:r>
        <w:rPr>
          <w:rFonts w:hint="eastAsia" w:ascii="仿宋_GB2312" w:hAnsi="仿宋" w:eastAsia="仿宋_GB2312" w:cs="仿宋"/>
          <w:sz w:val="32"/>
          <w:szCs w:val="32"/>
        </w:rPr>
        <w:t>集装箱到发业务。</w:t>
      </w:r>
    </w:p>
    <w:p>
      <w:pPr>
        <w:spacing w:line="560" w:lineRule="exact"/>
        <w:ind w:firstLine="640" w:firstLineChars="200"/>
        <w:rPr>
          <w:rFonts w:ascii="楷体_GB2312" w:hAnsi="楷体_GB2312" w:eastAsia="仿宋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.协调推进临沭站光伏项目并网发电工作。</w:t>
      </w:r>
      <w:r>
        <w:rPr>
          <w:rFonts w:hint="eastAsia" w:ascii="仿宋_GB2312" w:hAnsi="仿宋_GB2312" w:eastAsia="仿宋_GB2312" w:cs="仿宋_GB2312"/>
          <w:sz w:val="32"/>
          <w:szCs w:val="32"/>
        </w:rPr>
        <w:t>与山东铁投能源公司合作，利用临沭站货场站台雨棚开展光伏项目。2023年4月10日在临沭站货场举行沂沭铁路临沭站货场棚顶分布式光伏发电项目并网仪式，标志着该项目正式进入运营阶段。同时与能源公司签订用电协议，沂沭铁路享受光伏发电用电七折优惠，</w:t>
      </w:r>
      <w:r>
        <w:rPr>
          <w:rFonts w:hint="eastAsia" w:ascii="仿宋_GB2312" w:hAnsi="仿宋" w:eastAsia="仿宋_GB2312"/>
          <w:sz w:val="32"/>
          <w:szCs w:val="32"/>
        </w:rPr>
        <w:t>每度电节省</w:t>
      </w:r>
      <w:r>
        <w:rPr>
          <w:rFonts w:ascii="仿宋_GB2312" w:hAnsi="仿宋" w:eastAsia="仿宋_GB2312"/>
          <w:sz w:val="32"/>
          <w:szCs w:val="32"/>
        </w:rPr>
        <w:t>0.29</w:t>
      </w:r>
      <w:r>
        <w:rPr>
          <w:rFonts w:hint="eastAsia" w:ascii="仿宋_GB2312" w:hAnsi="仿宋" w:eastAsia="仿宋_GB2312"/>
          <w:sz w:val="32"/>
          <w:szCs w:val="32"/>
        </w:rPr>
        <w:t>元</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rPr>
        <w:t>全年预计节省电费</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万元。</w:t>
      </w:r>
    </w:p>
    <w:p>
      <w:pPr>
        <w:spacing w:line="560" w:lineRule="exact"/>
        <w:ind w:firstLine="640" w:firstLineChars="200"/>
        <w:rPr>
          <w:rFonts w:ascii="楷体_GB2312" w:eastAsia="楷体_GB2312"/>
          <w:sz w:val="32"/>
          <w:szCs w:val="32"/>
        </w:rPr>
      </w:pPr>
      <w:r>
        <w:rPr>
          <w:rFonts w:hint="eastAsia" w:ascii="楷体_GB2312" w:eastAsia="楷体_GB2312"/>
          <w:sz w:val="32"/>
          <w:szCs w:val="32"/>
          <w:lang w:val="en-US" w:eastAsia="zh-CN"/>
        </w:rPr>
        <w:t>3</w:t>
      </w:r>
      <w:r>
        <w:rPr>
          <w:rFonts w:hint="eastAsia" w:ascii="楷体_GB2312" w:eastAsia="楷体_GB2312"/>
          <w:sz w:val="32"/>
          <w:szCs w:val="32"/>
        </w:rPr>
        <w:t>.落实委托运输监管职责。</w:t>
      </w:r>
      <w:r>
        <w:rPr>
          <w:rFonts w:hint="eastAsia" w:ascii="仿宋_GB2312" w:eastAsia="仿宋_GB2312"/>
          <w:bCs/>
          <w:sz w:val="32"/>
          <w:szCs w:val="32"/>
        </w:rPr>
        <w:t>一是严格实行安全隐患库、安全风险库“双重预防机制”，并根据设备变化情况</w:t>
      </w:r>
      <w:r>
        <w:rPr>
          <w:rFonts w:hint="eastAsia" w:ascii="仿宋_GB2312" w:eastAsia="仿宋_GB2312"/>
          <w:bCs/>
          <w:sz w:val="32"/>
          <w:szCs w:val="32"/>
          <w:lang w:val="en-US" w:eastAsia="zh-CN"/>
        </w:rPr>
        <w:t>动态</w:t>
      </w:r>
      <w:r>
        <w:rPr>
          <w:rFonts w:hint="eastAsia" w:ascii="仿宋_GB2312" w:eastAsia="仿宋_GB2312"/>
          <w:bCs/>
          <w:sz w:val="32"/>
          <w:szCs w:val="32"/>
        </w:rPr>
        <w:t>更新。二是对全线的高路基、深路堑、公跨铁立交桥、公路与铁路并行段防护栅栏排定检查计划，定期进行现场巡查，留存影像记录。三是我公司按合同约定聘请山东地方铁路学会专家组对东平铁路作运输、安全技术诊断检查，并对诊断报告中提出的问题进行跟踪整改。</w:t>
      </w:r>
      <w:r>
        <w:rPr>
          <w:rFonts w:hint="eastAsia" w:ascii="仿宋_GB2312" w:eastAsia="仿宋_GB2312"/>
          <w:bCs/>
          <w:sz w:val="32"/>
          <w:szCs w:val="32"/>
          <w:lang w:val="en-US" w:eastAsia="zh-CN"/>
        </w:rPr>
        <w:t>四</w:t>
      </w:r>
      <w:r>
        <w:rPr>
          <w:rFonts w:hint="eastAsia" w:ascii="仿宋_GB2312" w:eastAsia="仿宋_GB2312"/>
          <w:bCs/>
          <w:sz w:val="32"/>
          <w:szCs w:val="32"/>
        </w:rPr>
        <w:t>是加强交通、消防、人身安全管理。对车辆严格落实派车及车辆维修保养审批制度，对办公场所、员工宿舍消防安全进行定期检查，对检查发现的8条问题督促整改并纳入考核。利用交班会、学习会等形式加强对员工的教育提醒，增强自我防护意识。</w:t>
      </w:r>
    </w:p>
    <w:p>
      <w:pPr>
        <w:spacing w:line="560" w:lineRule="exact"/>
        <w:ind w:firstLine="640" w:firstLineChars="200"/>
        <w:rPr>
          <w:rFonts w:hint="eastAsia" w:ascii="仿宋_GB2312" w:hAnsi="楷体_GB2312" w:eastAsia="仿宋_GB2312" w:cs="楷体_GB2312"/>
          <w:bCs/>
          <w:sz w:val="32"/>
          <w:szCs w:val="32"/>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.规范</w:t>
      </w:r>
      <w:r>
        <w:rPr>
          <w:rFonts w:hint="eastAsia" w:ascii="楷体_GB2312" w:eastAsia="楷体_GB2312"/>
          <w:bCs/>
          <w:sz w:val="32"/>
          <w:szCs w:val="32"/>
        </w:rPr>
        <w:t>经营管理工作。</w:t>
      </w:r>
      <w:r>
        <w:rPr>
          <w:rFonts w:hint="eastAsia" w:ascii="楷体_GB2312" w:hAnsi="楷体_GB2312" w:eastAsia="楷体_GB2312" w:cs="楷体_GB2312"/>
          <w:b/>
          <w:sz w:val="32"/>
          <w:szCs w:val="32"/>
        </w:rPr>
        <w:t>一是</w:t>
      </w:r>
      <w:r>
        <w:rPr>
          <w:rFonts w:hint="eastAsia" w:ascii="仿宋_GB2312" w:eastAsia="仿宋_GB2312"/>
          <w:bCs/>
          <w:sz w:val="32"/>
          <w:szCs w:val="32"/>
        </w:rPr>
        <w:t>规范落实“三重一大”事项公司决策。年内顺利召开了沂沭公司202</w:t>
      </w:r>
      <w:r>
        <w:rPr>
          <w:rFonts w:hint="eastAsia" w:ascii="仿宋_GB2312" w:eastAsia="仿宋_GB2312"/>
          <w:bCs/>
          <w:sz w:val="32"/>
          <w:szCs w:val="32"/>
          <w:lang w:val="en-US" w:eastAsia="zh-CN"/>
        </w:rPr>
        <w:t>2</w:t>
      </w:r>
      <w:r>
        <w:rPr>
          <w:rFonts w:hint="eastAsia" w:ascii="仿宋_GB2312" w:eastAsia="仿宋_GB2312"/>
          <w:bCs/>
          <w:sz w:val="32"/>
          <w:szCs w:val="32"/>
        </w:rPr>
        <w:t>年度“三会”，形成决议。根据工作实际，202</w:t>
      </w:r>
      <w:r>
        <w:rPr>
          <w:rFonts w:hint="eastAsia" w:ascii="仿宋_GB2312" w:eastAsia="仿宋_GB2312"/>
          <w:bCs/>
          <w:sz w:val="32"/>
          <w:szCs w:val="32"/>
          <w:lang w:val="en-US" w:eastAsia="zh-CN"/>
        </w:rPr>
        <w:t>3</w:t>
      </w:r>
      <w:r>
        <w:rPr>
          <w:rFonts w:hint="eastAsia" w:ascii="仿宋_GB2312" w:eastAsia="仿宋_GB2312"/>
          <w:bCs/>
          <w:sz w:val="32"/>
          <w:szCs w:val="32"/>
        </w:rPr>
        <w:t>年组织召开了</w:t>
      </w:r>
      <w:r>
        <w:rPr>
          <w:rFonts w:hint="eastAsia" w:ascii="仿宋_GB2312" w:eastAsia="仿宋_GB2312"/>
          <w:bCs/>
          <w:sz w:val="32"/>
          <w:szCs w:val="32"/>
          <w:lang w:val="en-US" w:eastAsia="zh-CN"/>
        </w:rPr>
        <w:t>1</w:t>
      </w:r>
      <w:r>
        <w:rPr>
          <w:rFonts w:hint="eastAsia" w:ascii="仿宋_GB2312" w:eastAsia="仿宋_GB2312"/>
          <w:bCs/>
          <w:sz w:val="32"/>
          <w:szCs w:val="32"/>
        </w:rPr>
        <w:t>次临时股东会、董事会，</w:t>
      </w:r>
      <w:r>
        <w:rPr>
          <w:rFonts w:hint="eastAsia" w:ascii="仿宋_GB2312" w:hAnsi="仿宋_GB2312" w:eastAsia="仿宋_GB2312" w:cs="仿宋_GB2312"/>
          <w:bCs/>
          <w:sz w:val="32"/>
          <w:szCs w:val="32"/>
          <w:lang w:val="en-US" w:eastAsia="zh-CN"/>
        </w:rPr>
        <w:t>选举补充了职工董事、职工监事。</w:t>
      </w:r>
      <w:bookmarkStart w:id="3" w:name="_GoBack"/>
      <w:bookmarkEnd w:id="3"/>
      <w:r>
        <w:rPr>
          <w:rFonts w:hint="eastAsia" w:ascii="仿宋_GB2312" w:eastAsia="仿宋_GB2312"/>
          <w:bCs/>
          <w:sz w:val="32"/>
          <w:szCs w:val="32"/>
        </w:rPr>
        <w:t>审议通过重大决策议案，确保相关经营工作及时推进。</w:t>
      </w:r>
      <w:r>
        <w:rPr>
          <w:rFonts w:hint="eastAsia" w:ascii="楷体_GB2312" w:hAnsi="楷体_GB2312" w:eastAsia="楷体_GB2312" w:cs="楷体_GB2312"/>
          <w:b/>
          <w:sz w:val="32"/>
          <w:szCs w:val="32"/>
        </w:rPr>
        <w:t>二是</w:t>
      </w:r>
      <w:r>
        <w:rPr>
          <w:rFonts w:hint="eastAsia" w:ascii="仿宋_GB2312" w:hAnsi="仿宋_GB2312" w:eastAsia="仿宋_GB2312" w:cs="仿宋_GB2312"/>
          <w:bCs/>
          <w:sz w:val="32"/>
          <w:szCs w:val="32"/>
        </w:rPr>
        <w:t>推进公司工商变更工作。</w:t>
      </w:r>
      <w:r>
        <w:rPr>
          <w:rFonts w:hint="eastAsia" w:ascii="仿宋_GB2312" w:hAnsi="仿宋_GB2312" w:eastAsia="仿宋_GB2312" w:cs="仿宋_GB2312"/>
          <w:bCs/>
          <w:sz w:val="32"/>
          <w:szCs w:val="32"/>
          <w:lang w:val="en-US" w:eastAsia="zh-CN"/>
        </w:rPr>
        <w:t>沂沭</w:t>
      </w:r>
      <w:r>
        <w:rPr>
          <w:rFonts w:hint="eastAsia" w:ascii="仿宋_GB2312" w:eastAsia="仿宋_GB2312"/>
          <w:bCs/>
          <w:sz w:val="32"/>
          <w:szCs w:val="32"/>
        </w:rPr>
        <w:t>公司股东、法定代表人等变更登记内容均已形成公司股东会决议，公司变更登记所需材料已通过</w:t>
      </w:r>
      <w:r>
        <w:rPr>
          <w:rFonts w:hint="eastAsia" w:ascii="仿宋_GB2312" w:eastAsia="仿宋_GB2312"/>
          <w:bCs/>
          <w:sz w:val="32"/>
          <w:szCs w:val="32"/>
          <w:lang w:val="en-US" w:eastAsia="zh-CN"/>
        </w:rPr>
        <w:t>临沭县</w:t>
      </w:r>
      <w:r>
        <w:rPr>
          <w:rFonts w:hint="eastAsia" w:ascii="仿宋_GB2312" w:eastAsia="仿宋_GB2312"/>
          <w:bCs/>
          <w:sz w:val="32"/>
          <w:szCs w:val="32"/>
        </w:rPr>
        <w:t>行政审批局审核。于202</w:t>
      </w:r>
      <w:r>
        <w:rPr>
          <w:rFonts w:hint="eastAsia" w:ascii="仿宋_GB2312" w:eastAsia="仿宋_GB2312"/>
          <w:bCs/>
          <w:sz w:val="32"/>
          <w:szCs w:val="32"/>
          <w:lang w:val="en-US" w:eastAsia="zh-CN"/>
        </w:rPr>
        <w:t>4</w:t>
      </w:r>
      <w:r>
        <w:rPr>
          <w:rFonts w:hint="eastAsia" w:ascii="仿宋_GB2312" w:eastAsia="仿宋_GB2312"/>
          <w:bCs/>
          <w:sz w:val="32"/>
          <w:szCs w:val="32"/>
        </w:rPr>
        <w:t>年3月份完成</w:t>
      </w:r>
      <w:r>
        <w:rPr>
          <w:rFonts w:hint="eastAsia" w:ascii="仿宋_GB2312" w:eastAsia="仿宋_GB2312"/>
          <w:bCs/>
          <w:sz w:val="32"/>
          <w:szCs w:val="32"/>
          <w:lang w:val="en-US" w:eastAsia="zh-CN"/>
        </w:rPr>
        <w:t>工商变更登记，取得新的营业执照</w:t>
      </w:r>
      <w:r>
        <w:rPr>
          <w:rFonts w:hint="eastAsia" w:ascii="仿宋_GB2312" w:hAnsi="仿宋_GB2312" w:eastAsia="仿宋_GB2312" w:cs="仿宋_GB2312"/>
          <w:bCs/>
          <w:sz w:val="32"/>
          <w:szCs w:val="32"/>
          <w:lang w:eastAsia="zh-CN"/>
        </w:rPr>
        <w:t>。</w:t>
      </w:r>
      <w:r>
        <w:rPr>
          <w:rFonts w:hint="eastAsia" w:ascii="楷体_GB2312" w:hAnsi="楷体_GB2312" w:eastAsia="楷体_GB2312" w:cs="楷体_GB2312"/>
          <w:b/>
          <w:sz w:val="32"/>
          <w:szCs w:val="32"/>
        </w:rPr>
        <w:t>三是</w:t>
      </w:r>
      <w:r>
        <w:rPr>
          <w:rFonts w:hint="eastAsia" w:ascii="仿宋_GB2312" w:hAnsi="楷体_GB2312" w:eastAsia="仿宋_GB2312" w:cs="楷体_GB2312"/>
          <w:bCs/>
          <w:sz w:val="32"/>
          <w:szCs w:val="32"/>
        </w:rPr>
        <w:t>推进能源管理改革。与济南局集团公司、铁投能源公司签订三方协议，对沂沭铁路水电管理由委托运输管理单位包干使用。</w:t>
      </w:r>
    </w:p>
    <w:p>
      <w:pPr>
        <w:spacing w:line="560" w:lineRule="exact"/>
        <w:ind w:firstLine="640" w:firstLineChars="200"/>
        <w:rPr>
          <w:rFonts w:hint="eastAsia" w:ascii="仿宋_GB2312" w:hAnsi="楷体_GB2312" w:eastAsia="仿宋_GB2312" w:cs="楷体_GB2312"/>
          <w:bCs/>
          <w:sz w:val="32"/>
          <w:szCs w:val="32"/>
        </w:rPr>
      </w:pPr>
      <w:r>
        <w:rPr>
          <w:rFonts w:hint="eastAsia" w:ascii="楷体_GB2312" w:hAnsi="楷体_GB2312" w:eastAsia="楷体_GB2312" w:cs="楷体_GB2312"/>
          <w:b w:val="0"/>
          <w:bCs w:val="0"/>
          <w:sz w:val="32"/>
          <w:szCs w:val="32"/>
          <w:lang w:val="en-US" w:eastAsia="zh-CN" w:bidi="ar-SA"/>
        </w:rPr>
        <w:t>5.扎实抓好支部建设</w:t>
      </w:r>
      <w:r>
        <w:rPr>
          <w:rFonts w:hint="eastAsia" w:ascii="楷体_GB2312" w:hAnsi="楷体_GB2312" w:eastAsia="楷体_GB2312" w:cs="楷体_GB2312"/>
          <w:kern w:val="1"/>
          <w:sz w:val="32"/>
          <w:szCs w:val="32"/>
          <w:lang w:eastAsia="zh-CN"/>
        </w:rPr>
        <w:t>。</w:t>
      </w:r>
      <w:r>
        <w:rPr>
          <w:rFonts w:hint="eastAsia" w:ascii="楷体_GB2312" w:hAnsi="楷体_GB2312" w:eastAsia="楷体_GB2312" w:cs="楷体_GB2312"/>
          <w:kern w:val="1"/>
          <w:sz w:val="32"/>
          <w:szCs w:val="32"/>
          <w:lang w:val="en-US" w:eastAsia="zh-CN"/>
        </w:rPr>
        <w:t>一是</w:t>
      </w:r>
      <w:r>
        <w:rPr>
          <w:rFonts w:hint="eastAsia" w:ascii="仿宋_GB2312" w:eastAsia="仿宋_GB2312"/>
          <w:sz w:val="32"/>
          <w:szCs w:val="32"/>
        </w:rPr>
        <w:t>发挥党</w:t>
      </w:r>
      <w:r>
        <w:rPr>
          <w:rFonts w:hint="eastAsia" w:ascii="仿宋_GB2312" w:eastAsia="仿宋_GB2312"/>
          <w:sz w:val="32"/>
          <w:szCs w:val="32"/>
          <w:lang w:val="en-US" w:eastAsia="zh-CN"/>
        </w:rPr>
        <w:t>组织</w:t>
      </w:r>
      <w:r>
        <w:rPr>
          <w:rFonts w:hint="eastAsia" w:ascii="仿宋_GB2312" w:eastAsia="仿宋_GB2312"/>
          <w:sz w:val="32"/>
          <w:szCs w:val="32"/>
        </w:rPr>
        <w:t>把方向、管大局、保落实作用</w:t>
      </w:r>
      <w:r>
        <w:rPr>
          <w:rFonts w:hint="eastAsia" w:ascii="仿宋_GB2312" w:eastAsia="仿宋_GB2312"/>
          <w:sz w:val="32"/>
          <w:szCs w:val="32"/>
          <w:lang w:val="en-US" w:eastAsia="zh-CN"/>
        </w:rPr>
        <w:t>，</w:t>
      </w:r>
      <w:r>
        <w:rPr>
          <w:rFonts w:hint="eastAsia" w:ascii="仿宋_GB2312" w:hAnsi="仿宋_GB2312" w:eastAsia="仿宋_GB2312" w:cs="仿宋_GB2312"/>
          <w:snapToGrid w:val="0"/>
          <w:kern w:val="0"/>
          <w:sz w:val="32"/>
          <w:szCs w:val="32"/>
        </w:rPr>
        <w:t>研究制定了党支部研究决定事项清单、前置研究讨论事项清单及负面清单</w:t>
      </w:r>
      <w:r>
        <w:rPr>
          <w:rFonts w:hint="eastAsia" w:ascii="仿宋_GB2312" w:hAnsi="仿宋_GB2312" w:eastAsia="仿宋_GB2312" w:cs="仿宋_GB2312"/>
          <w:snapToGrid w:val="0"/>
          <w:kern w:val="0"/>
          <w:sz w:val="32"/>
          <w:szCs w:val="32"/>
          <w:lang w:eastAsia="zh-CN"/>
        </w:rPr>
        <w:t>，</w:t>
      </w:r>
      <w:r>
        <w:rPr>
          <w:rFonts w:hint="eastAsia" w:ascii="仿宋_GB2312" w:eastAsia="仿宋_GB2312"/>
          <w:sz w:val="32"/>
          <w:szCs w:val="32"/>
          <w:lang w:val="en-US" w:eastAsia="zh-CN"/>
        </w:rPr>
        <w:t>做到“三重一大事项”支部党员大会前置研究</w:t>
      </w:r>
      <w:r>
        <w:rPr>
          <w:rFonts w:hint="eastAsia" w:ascii="仿宋_GB2312" w:eastAsia="仿宋_GB2312"/>
          <w:sz w:val="32"/>
          <w:szCs w:val="32"/>
        </w:rPr>
        <w:t>。</w:t>
      </w:r>
      <w:r>
        <w:rPr>
          <w:rFonts w:hint="eastAsia" w:ascii="仿宋_GB2312" w:eastAsia="仿宋_GB2312"/>
          <w:sz w:val="32"/>
          <w:szCs w:val="32"/>
          <w:lang w:val="en-US" w:eastAsia="zh-CN"/>
        </w:rPr>
        <w:t>二是围绕</w:t>
      </w:r>
      <w:r>
        <w:rPr>
          <w:rFonts w:hint="eastAsia" w:ascii="仿宋_GB2312" w:eastAsia="仿宋_GB2312"/>
          <w:sz w:val="32"/>
          <w:szCs w:val="32"/>
        </w:rPr>
        <w:t>年度党建重点任务，</w:t>
      </w:r>
      <w:r>
        <w:rPr>
          <w:rFonts w:hint="eastAsia" w:ascii="仿宋_GB2312" w:eastAsia="仿宋_GB2312"/>
          <w:sz w:val="32"/>
          <w:szCs w:val="32"/>
          <w:lang w:val="en-US" w:eastAsia="zh-CN"/>
        </w:rPr>
        <w:t>抓好</w:t>
      </w:r>
      <w:r>
        <w:rPr>
          <w:rFonts w:hint="eastAsia" w:ascii="仿宋_GB2312" w:eastAsia="仿宋_GB2312"/>
          <w:sz w:val="32"/>
          <w:szCs w:val="32"/>
        </w:rPr>
        <w:t>“三会一课”、组织生活会、主题党日活动</w:t>
      </w:r>
      <w:r>
        <w:rPr>
          <w:rFonts w:hint="eastAsia" w:ascii="仿宋_GB2312" w:eastAsia="仿宋_GB2312"/>
          <w:sz w:val="32"/>
          <w:szCs w:val="32"/>
          <w:lang w:val="en-US" w:eastAsia="zh-CN"/>
        </w:rPr>
        <w:t>的规划和落实。三是</w:t>
      </w:r>
      <w:r>
        <w:rPr>
          <w:rFonts w:hint="eastAsia" w:ascii="仿宋_GB2312" w:hAnsi="仿宋_GB2312" w:eastAsia="仿宋_GB2312" w:cs="仿宋_GB2312"/>
          <w:sz w:val="32"/>
          <w:szCs w:val="32"/>
          <w:lang w:val="en-US" w:eastAsia="zh-CN"/>
        </w:rPr>
        <w:t>开展主题教育，从六个方面逐条对照，全面梳理，自查7条问题全部落实整改。四是落实党风廉政建设，</w:t>
      </w:r>
      <w:r>
        <w:rPr>
          <w:rFonts w:hint="eastAsia" w:ascii="仿宋_GB2312" w:eastAsia="仿宋_GB2312"/>
          <w:sz w:val="32"/>
          <w:szCs w:val="32"/>
        </w:rPr>
        <w:t>开展“靠企吃企”问题自查自纠和专项整治，开展违反中央八项规定精神突出问题专项治理，开展“不担当不作为假作为乱作为”问题排查</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全年组织支部党员大会（含组织生活会）18次、党课4次，亲自讲党课3次，开展主题党日活动12次，</w:t>
      </w:r>
      <w:r>
        <w:rPr>
          <w:rFonts w:hint="eastAsia" w:ascii="仿宋_GB2312" w:hAnsi="宋体" w:eastAsia="仿宋_GB2312" w:cs="宋体"/>
          <w:b w:val="0"/>
          <w:bCs w:val="0"/>
          <w:kern w:val="0"/>
          <w:sz w:val="32"/>
          <w:szCs w:val="32"/>
          <w:lang w:val="en-US" w:eastAsia="zh-CN" w:bidi="ar"/>
        </w:rPr>
        <w:t>教育引导所有员工，</w:t>
      </w:r>
      <w:r>
        <w:rPr>
          <w:rFonts w:hint="eastAsia" w:ascii="仿宋_GB2312" w:eastAsia="仿宋_GB2312"/>
          <w:sz w:val="32"/>
          <w:szCs w:val="32"/>
        </w:rPr>
        <w:t>克服人员少、专业人员不足的困难，打破部门界限，围绕重点工作合力攻坚，集中力量解决关键问题。</w:t>
      </w:r>
      <w:r>
        <w:rPr>
          <w:rFonts w:hint="eastAsia" w:ascii="仿宋_GB2312" w:eastAsia="仿宋_GB2312"/>
          <w:bCs/>
          <w:sz w:val="32"/>
          <w:szCs w:val="32"/>
          <w:lang w:val="en-US" w:eastAsia="zh-CN"/>
        </w:rPr>
        <w:t>2023年初</w:t>
      </w:r>
      <w:r>
        <w:rPr>
          <w:rFonts w:hint="eastAsia" w:ascii="仿宋_GB2312" w:eastAsia="仿宋_GB2312"/>
          <w:bCs/>
          <w:sz w:val="32"/>
          <w:szCs w:val="32"/>
        </w:rPr>
        <w:t>迎接了集团公司过硬党支部验收，被评为第四批过硬党支部示范点。</w:t>
      </w:r>
    </w:p>
    <w:p>
      <w:pPr>
        <w:autoSpaceDE w:val="0"/>
        <w:autoSpaceDN w:val="0"/>
        <w:adjustRightInd w:val="0"/>
        <w:snapToGrid w:val="0"/>
        <w:spacing w:line="560" w:lineRule="exact"/>
        <w:ind w:right="13" w:rightChars="6" w:firstLine="640" w:firstLineChars="200"/>
        <w:rPr>
          <w:rFonts w:ascii="黑体" w:hAnsi="黑体" w:eastAsia="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是公司开启高质量发展新征程至关重要的一年。公司董事将进一步完善公司治理结构，推进依法治企、规范决策，密切董事与公司经营管理之间的联系，提升董事在公司经营中的参与度，融洽董事之间和董事与股东方之间的关系，进一步增强董事会的团结，提高决策效率，为公司经营发展提供决策支持。</w:t>
      </w:r>
    </w:p>
    <w:p>
      <w:pPr>
        <w:autoSpaceDE w:val="0"/>
        <w:autoSpaceDN w:val="0"/>
        <w:adjustRightInd w:val="0"/>
        <w:snapToGrid w:val="0"/>
        <w:spacing w:line="560" w:lineRule="exact"/>
        <w:ind w:right="13" w:rightChars="6"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四、年度审计报告摘要</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我公司202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 xml:space="preserve">年度财务数据经天职国际会计师事务所（特殊普通合伙）审计，出具无保留意见审计报告，审计报告摘要如下： </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bidi="ar"/>
        </w:rPr>
        <w:t xml:space="preserve">（一）审计意见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我们审计了沂沭铁路有限责任公司财务报表，包括202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年12月31日的资产负债表，202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 xml:space="preserve">年度的利润表、现金流量表、所有者权益变动表以及相关财务报表附注。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我们认为，后附的财务报表在所有重大方面按照企业会计准则的规定编制，公允反映了沂沭公司202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年12月31日的财务状况以及202</w:t>
      </w:r>
      <w:r>
        <w:rPr>
          <w:rFonts w:hint="eastAsia" w:ascii="仿宋_GB2312" w:hAnsi="仿宋_GB2312" w:eastAsia="仿宋_GB2312" w:cs="仿宋_GB2312"/>
          <w:color w:val="000000"/>
          <w:kern w:val="0"/>
          <w:sz w:val="32"/>
          <w:szCs w:val="32"/>
          <w:lang w:val="en-US" w:eastAsia="zh-CN" w:bidi="ar"/>
        </w:rPr>
        <w:t>3</w:t>
      </w:r>
      <w:r>
        <w:rPr>
          <w:rFonts w:hint="eastAsia" w:ascii="仿宋_GB2312" w:hAnsi="仿宋_GB2312" w:eastAsia="仿宋_GB2312" w:cs="仿宋_GB2312"/>
          <w:color w:val="000000"/>
          <w:kern w:val="0"/>
          <w:sz w:val="32"/>
          <w:szCs w:val="32"/>
          <w:lang w:bidi="ar"/>
        </w:rPr>
        <w:t xml:space="preserve">年度的经营成果和现金流量。 </w:t>
      </w:r>
    </w:p>
    <w:p>
      <w:pPr>
        <w:widowControl/>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color w:val="000000"/>
          <w:kern w:val="0"/>
          <w:sz w:val="32"/>
          <w:szCs w:val="32"/>
          <w:lang w:bidi="ar"/>
        </w:rPr>
        <w:t xml:space="preserve">（二）形成审计意见的基础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我们按照中国注册会计师审计准则的规定执行了审计工作。审计报告的“注册会计师对财务报表审计的责任”部分进一步阐述了我们在这些准则下的责任。按照中国注册会计师职业道德守则，我们独立于沂沭公司，并履行了职业道德方面的其他责任。我们相信，我们获取的审计证据是充分、适当的，为发表审计意见提供了基础。</w:t>
      </w:r>
    </w:p>
    <w:p>
      <w:pPr>
        <w:autoSpaceDE w:val="0"/>
        <w:autoSpaceDN w:val="0"/>
        <w:adjustRightInd w:val="0"/>
        <w:snapToGrid w:val="0"/>
        <w:spacing w:line="560" w:lineRule="exact"/>
        <w:ind w:right="13" w:rightChars="6"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 xml:space="preserve">、“三重一大”有关事项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（一）有关重大决策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hint="eastAsia" w:ascii="仿宋_GB2312" w:eastAsia="仿宋_GB2312"/>
          <w:bCs/>
          <w:sz w:val="32"/>
          <w:szCs w:val="32"/>
        </w:rPr>
        <w:t>年内顺利召开了沂沭公司202</w:t>
      </w:r>
      <w:r>
        <w:rPr>
          <w:rFonts w:hint="eastAsia" w:ascii="仿宋_GB2312" w:eastAsia="仿宋_GB2312"/>
          <w:bCs/>
          <w:sz w:val="32"/>
          <w:szCs w:val="32"/>
          <w:lang w:val="en-US" w:eastAsia="zh-CN"/>
        </w:rPr>
        <w:t>2</w:t>
      </w:r>
      <w:r>
        <w:rPr>
          <w:rFonts w:hint="eastAsia" w:ascii="仿宋_GB2312" w:eastAsia="仿宋_GB2312"/>
          <w:bCs/>
          <w:sz w:val="32"/>
          <w:szCs w:val="32"/>
        </w:rPr>
        <w:t>年度“三会”，形成决议。根据工作实际，202</w:t>
      </w:r>
      <w:r>
        <w:rPr>
          <w:rFonts w:hint="eastAsia" w:ascii="仿宋_GB2312" w:eastAsia="仿宋_GB2312"/>
          <w:bCs/>
          <w:sz w:val="32"/>
          <w:szCs w:val="32"/>
          <w:lang w:val="en-US" w:eastAsia="zh-CN"/>
        </w:rPr>
        <w:t>3</w:t>
      </w:r>
      <w:r>
        <w:rPr>
          <w:rFonts w:hint="eastAsia" w:ascii="仿宋_GB2312" w:eastAsia="仿宋_GB2312"/>
          <w:bCs/>
          <w:sz w:val="32"/>
          <w:szCs w:val="32"/>
        </w:rPr>
        <w:t>年组织召开了</w:t>
      </w:r>
      <w:r>
        <w:rPr>
          <w:rFonts w:hint="eastAsia" w:ascii="仿宋_GB2312" w:eastAsia="仿宋_GB2312"/>
          <w:bCs/>
          <w:sz w:val="32"/>
          <w:szCs w:val="32"/>
          <w:lang w:val="en-US" w:eastAsia="zh-CN"/>
        </w:rPr>
        <w:t>1</w:t>
      </w:r>
      <w:r>
        <w:rPr>
          <w:rFonts w:hint="eastAsia" w:ascii="仿宋_GB2312" w:eastAsia="仿宋_GB2312"/>
          <w:bCs/>
          <w:sz w:val="32"/>
          <w:szCs w:val="32"/>
        </w:rPr>
        <w:t>次临时股东会、董事会，审议通过重大决策议案，确保相关经营工作及时推进。</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（二）有关重大人事任免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仿宋_GB2312" w:eastAsia="仿宋_GB2312"/>
          <w:bCs/>
          <w:sz w:val="32"/>
          <w:szCs w:val="32"/>
        </w:rPr>
        <w:t>无。</w:t>
      </w:r>
      <w:r>
        <w:rPr>
          <w:rFonts w:ascii="楷体" w:hAnsi="楷体" w:eastAsia="楷体"/>
          <w:sz w:val="32"/>
          <w:szCs w:val="32"/>
        </w:rPr>
        <w:t xml:space="preserve">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（三）有关重大项目投资及境外投资情况</w:t>
      </w:r>
    </w:p>
    <w:p>
      <w:pPr>
        <w:autoSpaceDE w:val="0"/>
        <w:autoSpaceDN w:val="0"/>
        <w:adjustRightInd w:val="0"/>
        <w:snapToGrid w:val="0"/>
        <w:spacing w:line="560" w:lineRule="exact"/>
        <w:ind w:right="13" w:rightChars="6" w:firstLine="640" w:firstLineChars="200"/>
        <w:rPr>
          <w:rFonts w:ascii="仿宋_GB2312" w:hAnsi="仿宋_GB2312" w:eastAsia="仿宋_GB2312" w:cs="仿宋_GB2312"/>
          <w:sz w:val="32"/>
          <w:szCs w:val="32"/>
        </w:rPr>
      </w:pPr>
      <w:r>
        <w:rPr>
          <w:rFonts w:hint="eastAsia" w:ascii="仿宋_GB2312" w:eastAsia="仿宋_GB2312"/>
          <w:bCs/>
          <w:sz w:val="32"/>
          <w:szCs w:val="32"/>
        </w:rPr>
        <w:t>对济南局2022年运输设施设备技术改造、大修计划建议，公司组织专家组进行了现场核实，沂沭铁路2022年度运输设施设备技术改造建议计划1项，估算投资6万元，核实后按1项执行。</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（四）大额资金的调动及使用情况 </w:t>
      </w:r>
    </w:p>
    <w:p>
      <w:pPr>
        <w:autoSpaceDE w:val="0"/>
        <w:autoSpaceDN w:val="0"/>
        <w:adjustRightInd w:val="0"/>
        <w:snapToGrid w:val="0"/>
        <w:spacing w:line="560" w:lineRule="exact"/>
        <w:ind w:right="13" w:rightChars="6" w:firstLine="640" w:firstLineChars="200"/>
        <w:rPr>
          <w:rFonts w:ascii="仿宋_GB2312" w:eastAsia="仿宋_GB2312"/>
          <w:bCs/>
          <w:sz w:val="32"/>
          <w:szCs w:val="32"/>
        </w:rPr>
      </w:pPr>
      <w:r>
        <w:rPr>
          <w:rFonts w:ascii="仿宋_GB2312" w:eastAsia="仿宋_GB2312"/>
          <w:bCs/>
          <w:sz w:val="32"/>
          <w:szCs w:val="32"/>
        </w:rPr>
        <w:t>202</w:t>
      </w:r>
      <w:r>
        <w:rPr>
          <w:rFonts w:hint="eastAsia" w:ascii="仿宋_GB2312" w:eastAsia="仿宋_GB2312"/>
          <w:bCs/>
          <w:sz w:val="32"/>
          <w:szCs w:val="32"/>
          <w:lang w:val="en-US" w:eastAsia="zh-CN"/>
        </w:rPr>
        <w:t>3</w:t>
      </w:r>
      <w:r>
        <w:rPr>
          <w:rFonts w:ascii="仿宋_GB2312" w:eastAsia="仿宋_GB2312"/>
          <w:bCs/>
          <w:sz w:val="32"/>
          <w:szCs w:val="32"/>
        </w:rPr>
        <w:t xml:space="preserve">年大额资金的调动和使用均符合国资监管及公司相关 制度规定。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（五）国有资产保值增值情况 </w:t>
      </w:r>
    </w:p>
    <w:p>
      <w:pPr>
        <w:autoSpaceDE w:val="0"/>
        <w:autoSpaceDN w:val="0"/>
        <w:adjustRightInd w:val="0"/>
        <w:snapToGrid w:val="0"/>
        <w:spacing w:line="560" w:lineRule="exact"/>
        <w:ind w:right="13" w:rightChars="6" w:firstLine="640" w:firstLineChars="200"/>
        <w:rPr>
          <w:rFonts w:ascii="仿宋_GB2312" w:eastAsia="仿宋_GB2312"/>
          <w:bCs/>
          <w:sz w:val="32"/>
          <w:szCs w:val="32"/>
        </w:rPr>
      </w:pPr>
      <w:r>
        <w:rPr>
          <w:rFonts w:ascii="仿宋_GB2312" w:eastAsia="仿宋_GB2312"/>
          <w:bCs/>
          <w:sz w:val="32"/>
          <w:szCs w:val="32"/>
        </w:rPr>
        <w:t>持续加强国有资产经营管理，提质增效，实现国有资产保值增值。</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（六）企业重大改制重组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仿宋_GB2312" w:eastAsia="仿宋_GB2312"/>
          <w:bCs/>
          <w:sz w:val="32"/>
          <w:szCs w:val="32"/>
        </w:rPr>
        <w:t>无。</w:t>
      </w:r>
      <w:r>
        <w:rPr>
          <w:rFonts w:ascii="楷体" w:hAnsi="楷体" w:eastAsia="楷体"/>
          <w:sz w:val="32"/>
          <w:szCs w:val="32"/>
        </w:rPr>
        <w:t xml:space="preserve">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（七）通过产权市场转让企业产权和企业增资等信息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仿宋_GB2312" w:eastAsia="仿宋_GB2312"/>
          <w:bCs/>
          <w:sz w:val="32"/>
          <w:szCs w:val="32"/>
        </w:rPr>
        <w:t>无。</w:t>
      </w:r>
      <w:r>
        <w:rPr>
          <w:rFonts w:ascii="楷体" w:hAnsi="楷体" w:eastAsia="楷体"/>
          <w:sz w:val="32"/>
          <w:szCs w:val="32"/>
        </w:rPr>
        <w:t xml:space="preserve">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（八）有关部门依法要求公开的监督检查问题整改情况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仿宋_GB2312" w:eastAsia="仿宋_GB2312"/>
          <w:bCs/>
          <w:sz w:val="32"/>
          <w:szCs w:val="32"/>
        </w:rPr>
        <w:t>无。</w:t>
      </w:r>
      <w:r>
        <w:rPr>
          <w:rFonts w:ascii="楷体" w:hAnsi="楷体" w:eastAsia="楷体"/>
          <w:sz w:val="32"/>
          <w:szCs w:val="32"/>
        </w:rPr>
        <w:t xml:space="preserve">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（九）重大突发事件事态发展和应急处置情况 </w:t>
      </w:r>
    </w:p>
    <w:p>
      <w:pPr>
        <w:autoSpaceDE w:val="0"/>
        <w:autoSpaceDN w:val="0"/>
        <w:adjustRightInd w:val="0"/>
        <w:snapToGrid w:val="0"/>
        <w:spacing w:line="560" w:lineRule="exact"/>
        <w:ind w:right="13" w:rightChars="6" w:firstLine="640" w:firstLineChars="200"/>
        <w:rPr>
          <w:rFonts w:ascii="仿宋_GB2312" w:eastAsia="仿宋_GB2312"/>
          <w:bCs/>
          <w:sz w:val="32"/>
          <w:szCs w:val="32"/>
        </w:rPr>
      </w:pPr>
      <w:r>
        <w:rPr>
          <w:rFonts w:ascii="仿宋_GB2312" w:eastAsia="仿宋_GB2312"/>
          <w:bCs/>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 </w:t>
      </w:r>
      <w:bookmarkEnd w:id="0"/>
      <w:bookmarkEnd w:id="1"/>
      <w:bookmarkEnd w:id="2"/>
      <w:r>
        <w:rPr>
          <w:rFonts w:hint="eastAsia" w:ascii="黑体" w:hAnsi="黑体" w:eastAsia="黑体" w:cs="黑体"/>
          <w:sz w:val="32"/>
          <w:szCs w:val="32"/>
        </w:rPr>
        <w:t>六</w:t>
      </w:r>
      <w:r>
        <w:rPr>
          <w:rFonts w:ascii="黑体" w:hAnsi="黑体" w:eastAsia="黑体"/>
          <w:sz w:val="32"/>
          <w:szCs w:val="32"/>
        </w:rPr>
        <w:t xml:space="preserve">、社会责任的履行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（一）职工劳动合同的签订、履行等劳动法律法规的遵守和 执行情况 </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ascii="仿宋_GB2312" w:hAnsi="仿宋" w:eastAsia="仿宋_GB2312" w:cs="仿宋"/>
          <w:sz w:val="32"/>
          <w:szCs w:val="32"/>
        </w:rPr>
        <w:t>根据《山东铁路有限公司劳动合同管理办法（试行）》，严 格遵守和执行劳动法律法规，切实维护职工的合法权益，构建和 谐劳动关系。截至202</w:t>
      </w:r>
      <w:r>
        <w:rPr>
          <w:rFonts w:hint="eastAsia" w:ascii="仿宋_GB2312" w:hAnsi="仿宋" w:eastAsia="仿宋_GB2312" w:cs="仿宋"/>
          <w:sz w:val="32"/>
          <w:szCs w:val="32"/>
          <w:lang w:val="en-US" w:eastAsia="zh-CN"/>
        </w:rPr>
        <w:t>3</w:t>
      </w:r>
      <w:r>
        <w:rPr>
          <w:rFonts w:ascii="仿宋_GB2312" w:hAnsi="仿宋" w:eastAsia="仿宋_GB2312" w:cs="仿宋"/>
          <w:sz w:val="32"/>
          <w:szCs w:val="32"/>
        </w:rPr>
        <w:t xml:space="preserve">年底，职工劳动合同签订率为100%。全年 未发生一起劳动合同纠纷事件。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（二）人才引进、职工招聘等情况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仿宋_GB2312" w:hAnsi="仿宋" w:eastAsia="仿宋_GB2312" w:cs="仿宋"/>
          <w:sz w:val="32"/>
          <w:szCs w:val="32"/>
        </w:rPr>
        <w:t>无。</w:t>
      </w:r>
      <w:r>
        <w:rPr>
          <w:rFonts w:ascii="楷体" w:hAnsi="楷体" w:eastAsia="楷体"/>
          <w:sz w:val="32"/>
          <w:szCs w:val="32"/>
        </w:rPr>
        <w:t xml:space="preserve">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（三）职工劳动、安全及卫生保护情况 </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ascii="仿宋_GB2312" w:hAnsi="仿宋" w:eastAsia="仿宋_GB2312" w:cs="仿宋"/>
          <w:sz w:val="32"/>
          <w:szCs w:val="32"/>
        </w:rPr>
        <w:t xml:space="preserve">公司严格按照劳动保护法及相关要求保障职工合法权益。改 善劳动条件，加强相关培训，为职工提供健康安全的工作环境。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（四）开展环境治理及保护情况 </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ascii="仿宋_GB2312" w:hAnsi="仿宋" w:eastAsia="仿宋_GB2312" w:cs="仿宋"/>
          <w:sz w:val="32"/>
          <w:szCs w:val="32"/>
        </w:rPr>
        <w:t xml:space="preserve">公司所有项目全部满足国家相应标准要求，并积极与管辖铁 路沿线地方政府对接处理各项工作。 </w:t>
      </w:r>
    </w:p>
    <w:p>
      <w:pPr>
        <w:autoSpaceDE w:val="0"/>
        <w:autoSpaceDN w:val="0"/>
        <w:adjustRightInd w:val="0"/>
        <w:snapToGrid w:val="0"/>
        <w:spacing w:line="560" w:lineRule="exact"/>
        <w:ind w:right="13" w:rightChars="6" w:firstLine="640" w:firstLineChars="200"/>
        <w:rPr>
          <w:rFonts w:ascii="楷体" w:hAnsi="楷体" w:eastAsia="楷体"/>
          <w:sz w:val="32"/>
          <w:szCs w:val="32"/>
        </w:rPr>
      </w:pPr>
      <w:r>
        <w:rPr>
          <w:rFonts w:ascii="楷体" w:hAnsi="楷体" w:eastAsia="楷体"/>
          <w:sz w:val="32"/>
          <w:szCs w:val="32"/>
        </w:rPr>
        <w:t xml:space="preserve">（五）提供安全的产品和服务，遵守商业道德情况 </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ascii="仿宋_GB2312" w:hAnsi="仿宋" w:eastAsia="仿宋_GB2312" w:cs="仿宋"/>
          <w:sz w:val="32"/>
          <w:szCs w:val="32"/>
        </w:rPr>
        <w:t>公司始终遵守市场竞争规则和商业道德，维护市场经济秩序， 促进公平竞争，增强经济活动的可预期性。坚持依法经营，牢记 道德底线、法律红线，诚信合规经营。坚持以公平、对等、诚信 的态度对待商业合作伙伴，努力赢得伙伴和市场的信赖。</w:t>
      </w:r>
    </w:p>
    <w:p>
      <w:pPr>
        <w:autoSpaceDE w:val="0"/>
        <w:autoSpaceDN w:val="0"/>
        <w:adjustRightInd w:val="0"/>
        <w:snapToGrid w:val="0"/>
        <w:spacing w:line="560" w:lineRule="exact"/>
        <w:ind w:right="13" w:rightChars="6"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（六）对外大额捐赠和赞助情况</w:t>
      </w:r>
    </w:p>
    <w:p>
      <w:pPr>
        <w:autoSpaceDE w:val="0"/>
        <w:autoSpaceDN w:val="0"/>
        <w:adjustRightInd w:val="0"/>
        <w:snapToGrid w:val="0"/>
        <w:spacing w:line="560" w:lineRule="exact"/>
        <w:ind w:right="13" w:rightChars="6" w:firstLine="640" w:firstLineChars="200"/>
        <w:rPr>
          <w:rFonts w:ascii="仿宋_GB2312" w:hAnsi="仿宋" w:eastAsia="仿宋_GB2312" w:cs="仿宋"/>
          <w:sz w:val="32"/>
          <w:szCs w:val="32"/>
        </w:rPr>
      </w:pPr>
      <w:r>
        <w:rPr>
          <w:rFonts w:hint="eastAsia" w:ascii="仿宋_GB2312" w:hAnsi="仿宋" w:eastAsia="仿宋_GB2312" w:cs="仿宋"/>
          <w:sz w:val="32"/>
          <w:szCs w:val="32"/>
        </w:rPr>
        <w:t>无。</w:t>
      </w:r>
    </w:p>
    <w:p>
      <w:pPr>
        <w:spacing w:before="128" w:line="560" w:lineRule="exact"/>
        <w:ind w:right="77" w:firstLine="484"/>
        <w:rPr>
          <w:rFonts w:ascii="仿宋_GB2312" w:hAnsi="仿宋" w:eastAsia="仿宋_GB2312" w:cs="仿宋"/>
          <w:sz w:val="32"/>
          <w:szCs w:val="32"/>
        </w:rPr>
      </w:pPr>
      <w:r>
        <w:rPr>
          <w:rFonts w:hint="eastAsia" w:ascii="仿宋_GB2312" w:hAnsi="仿宋" w:eastAsia="仿宋_GB2312" w:cs="仿宋"/>
          <w:sz w:val="32"/>
          <w:szCs w:val="32"/>
        </w:rPr>
        <w:t>以上信息，尚未经公司董事会审批。</w:t>
      </w:r>
    </w:p>
    <w:p>
      <w:pPr>
        <w:spacing w:before="128" w:line="560" w:lineRule="exact"/>
        <w:ind w:right="77" w:firstLine="484"/>
        <w:rPr>
          <w:rFonts w:ascii="仿宋_GB2312" w:hAnsi="仿宋" w:eastAsia="仿宋_GB2312" w:cs="仿宋"/>
          <w:sz w:val="32"/>
          <w:szCs w:val="32"/>
        </w:rPr>
      </w:pPr>
    </w:p>
    <w:p>
      <w:pPr>
        <w:spacing w:before="128" w:line="560" w:lineRule="exact"/>
        <w:ind w:right="77" w:firstLine="484"/>
        <w:rPr>
          <w:rFonts w:ascii="仿宋_GB2312" w:hAnsi="仿宋" w:eastAsia="仿宋_GB2312" w:cs="仿宋"/>
          <w:sz w:val="32"/>
          <w:szCs w:val="32"/>
        </w:rPr>
      </w:pPr>
    </w:p>
    <w:p>
      <w:pPr>
        <w:autoSpaceDE w:val="0"/>
        <w:autoSpaceDN w:val="0"/>
        <w:adjustRightInd w:val="0"/>
        <w:snapToGrid w:val="0"/>
        <w:spacing w:line="560" w:lineRule="exact"/>
        <w:ind w:right="13" w:rightChars="6" w:firstLine="4800" w:firstLineChars="1500"/>
        <w:rPr>
          <w:rFonts w:ascii="仿宋_GB2312" w:hAnsi="仿宋" w:eastAsia="仿宋_GB2312" w:cs="仿宋"/>
          <w:sz w:val="32"/>
          <w:szCs w:val="32"/>
        </w:rPr>
      </w:pPr>
      <w:r>
        <w:rPr>
          <w:rFonts w:hint="eastAsia" w:ascii="仿宋_GB2312" w:hAnsi="仿宋" w:eastAsia="仿宋_GB2312" w:cs="仿宋"/>
          <w:sz w:val="32"/>
          <w:szCs w:val="32"/>
        </w:rPr>
        <w:t>沂沭铁路有限责任公司</w:t>
      </w:r>
    </w:p>
    <w:p>
      <w:pPr>
        <w:autoSpaceDE w:val="0"/>
        <w:autoSpaceDN w:val="0"/>
        <w:adjustRightInd w:val="0"/>
        <w:snapToGrid w:val="0"/>
        <w:spacing w:line="560" w:lineRule="exact"/>
        <w:ind w:right="13" w:rightChars="6" w:firstLine="5440" w:firstLineChars="17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25</w:t>
      </w:r>
      <w:r>
        <w:rPr>
          <w:rFonts w:hint="eastAsia" w:ascii="仿宋_GB2312" w:hAnsi="仿宋" w:eastAsia="仿宋_GB2312" w:cs="仿宋"/>
          <w:sz w:val="32"/>
          <w:szCs w:val="32"/>
        </w:rPr>
        <w:t>日</w:t>
      </w:r>
    </w:p>
    <w:p>
      <w:pPr>
        <w:spacing w:before="128" w:line="379" w:lineRule="auto"/>
        <w:ind w:right="77" w:firstLine="484"/>
        <w:rPr>
          <w:rFonts w:ascii="仿宋_GB2312"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770849"/>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157164"/>
      <w:docPartObj>
        <w:docPartGallery w:val="autotext"/>
      </w:docPartObj>
    </w:sdtPr>
    <w:sdtEndPr>
      <w:rPr>
        <w:rFonts w:ascii="宋体" w:hAnsi="宋体" w:eastAsia="宋体"/>
        <w:sz w:val="28"/>
        <w:szCs w:val="28"/>
      </w:rPr>
    </w:sdtEndPr>
    <w:sdtContent>
      <w:p>
        <w:pPr>
          <w:pStyle w:val="2"/>
          <w:ind w:right="72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MWYzM2Q4OTVmYjY3ZTQ0Zjc4MDI2MTdiMWE4ZGQifQ=="/>
  </w:docVars>
  <w:rsids>
    <w:rsidRoot w:val="006311E3"/>
    <w:rsid w:val="001135E3"/>
    <w:rsid w:val="00123909"/>
    <w:rsid w:val="001B0A7C"/>
    <w:rsid w:val="00375009"/>
    <w:rsid w:val="003C674E"/>
    <w:rsid w:val="00411432"/>
    <w:rsid w:val="00471C59"/>
    <w:rsid w:val="00475486"/>
    <w:rsid w:val="004A491F"/>
    <w:rsid w:val="004C0CB7"/>
    <w:rsid w:val="005E225A"/>
    <w:rsid w:val="006311E3"/>
    <w:rsid w:val="006C747F"/>
    <w:rsid w:val="006D724E"/>
    <w:rsid w:val="007C6244"/>
    <w:rsid w:val="007F7780"/>
    <w:rsid w:val="00890C36"/>
    <w:rsid w:val="008B58D4"/>
    <w:rsid w:val="00973195"/>
    <w:rsid w:val="00CC403C"/>
    <w:rsid w:val="00D1565F"/>
    <w:rsid w:val="00DA03AA"/>
    <w:rsid w:val="00F84592"/>
    <w:rsid w:val="10B364B7"/>
    <w:rsid w:val="12BF5B48"/>
    <w:rsid w:val="169313E3"/>
    <w:rsid w:val="317A15E8"/>
    <w:rsid w:val="38B335EB"/>
    <w:rsid w:val="3C3C1BE8"/>
    <w:rsid w:val="4466412C"/>
    <w:rsid w:val="4C036089"/>
    <w:rsid w:val="4CCB77AD"/>
    <w:rsid w:val="53C848F0"/>
    <w:rsid w:val="5A6D7DD4"/>
    <w:rsid w:val="5CD06B34"/>
    <w:rsid w:val="5DEB51C1"/>
    <w:rsid w:val="64F760E1"/>
    <w:rsid w:val="70E45868"/>
    <w:rsid w:val="7E2B4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ing #1|1_"/>
    <w:basedOn w:val="5"/>
    <w:link w:val="7"/>
    <w:qFormat/>
    <w:uiPriority w:val="0"/>
    <w:rPr>
      <w:rFonts w:ascii="宋体" w:hAnsi="宋体" w:eastAsia="宋体" w:cs="宋体"/>
      <w:sz w:val="42"/>
      <w:szCs w:val="42"/>
      <w:lang w:val="zh-TW" w:eastAsia="zh-TW" w:bidi="zh-TW"/>
    </w:rPr>
  </w:style>
  <w:style w:type="paragraph" w:customStyle="1" w:styleId="7">
    <w:name w:val="Heading #1|1"/>
    <w:basedOn w:val="1"/>
    <w:link w:val="6"/>
    <w:qFormat/>
    <w:uiPriority w:val="0"/>
    <w:pPr>
      <w:spacing w:after="350"/>
      <w:jc w:val="center"/>
      <w:outlineLvl w:val="0"/>
    </w:pPr>
    <w:rPr>
      <w:rFonts w:ascii="宋体" w:hAnsi="宋体" w:eastAsia="宋体" w:cs="宋体"/>
      <w:sz w:val="42"/>
      <w:szCs w:val="42"/>
      <w:lang w:val="zh-TW" w:eastAsia="zh-TW" w:bidi="zh-TW"/>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table" w:customStyle="1" w:styleId="10">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3417</Words>
  <Characters>3675</Characters>
  <Lines>27</Lines>
  <Paragraphs>7</Paragraphs>
  <TotalTime>0</TotalTime>
  <ScaleCrop>false</ScaleCrop>
  <LinksUpToDate>false</LinksUpToDate>
  <CharactersWithSpaces>3722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2022-04-25T02:47:00Z</dcterms:created>
  <dc:creator>dongchunqian@outlook.com</dc:creator>
  <cp:lastModifiedBy>董春千</cp:lastModifiedBy>
  <dcterms:modified xsi:type="dcterms:W3CDTF">2024-06-25T01:58:37Z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23E09926D81E41B4B152397509C77A8F_13</vt:lpwstr>
  </property>
</Properties>
</file>