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ascii="方正小标宋简体" w:eastAsia="方正小标宋简体"/>
          <w:sz w:val="44"/>
          <w:szCs w:val="44"/>
          <w:lang w:val="zh-CN" w:bidi="zh-CN"/>
        </w:rPr>
      </w:pPr>
      <w:bookmarkStart w:id="0" w:name="bookmark0"/>
      <w:bookmarkStart w:id="1" w:name="bookmark1"/>
      <w:bookmarkStart w:id="2" w:name="bookmark2"/>
      <w:r>
        <w:rPr>
          <w:rFonts w:hint="eastAsia" w:ascii="方正小标宋简体" w:eastAsia="方正小标宋简体"/>
          <w:sz w:val="44"/>
          <w:szCs w:val="44"/>
          <w:lang w:val="zh-CN" w:bidi="zh-CN"/>
        </w:rPr>
        <w:t>枣临铁路有限责任公司年度公开信息</w:t>
      </w:r>
    </w:p>
    <w:p>
      <w:pPr>
        <w:spacing w:line="580" w:lineRule="exact"/>
        <w:ind w:firstLine="707" w:firstLineChars="221"/>
        <w:rPr>
          <w:rFonts w:ascii="黑体" w:hAnsi="黑体" w:eastAsia="黑体" w:cs="黑体"/>
          <w:sz w:val="32"/>
          <w:szCs w:val="32"/>
        </w:rPr>
      </w:pPr>
    </w:p>
    <w:p>
      <w:pPr>
        <w:spacing w:line="580" w:lineRule="exact"/>
        <w:ind w:firstLine="707" w:firstLineChars="221"/>
        <w:rPr>
          <w:rFonts w:ascii="黑体" w:hAnsi="黑体" w:eastAsia="黑体" w:cs="黑体"/>
          <w:sz w:val="32"/>
          <w:szCs w:val="32"/>
        </w:rPr>
      </w:pPr>
      <w:r>
        <w:rPr>
          <w:rFonts w:ascii="黑体" w:hAnsi="黑体" w:eastAsia="黑体" w:cs="黑体"/>
          <w:sz w:val="32"/>
          <w:szCs w:val="32"/>
        </w:rPr>
        <w:t xml:space="preserve">一、工商注册登记等公司基本信息 </w:t>
      </w:r>
    </w:p>
    <w:p>
      <w:pPr>
        <w:spacing w:line="580" w:lineRule="exact"/>
        <w:ind w:firstLine="707" w:firstLineChars="221"/>
        <w:rPr>
          <w:rFonts w:ascii="楷体_GB2312" w:hAnsi="黑体" w:eastAsia="楷体_GB2312" w:cs="黑体"/>
          <w:sz w:val="32"/>
          <w:szCs w:val="32"/>
        </w:rPr>
      </w:pPr>
      <w:r>
        <w:rPr>
          <w:rFonts w:hint="eastAsia" w:ascii="楷体_GB2312" w:hAnsi="黑体" w:eastAsia="楷体_GB2312" w:cs="黑体"/>
          <w:sz w:val="32"/>
          <w:szCs w:val="32"/>
        </w:rPr>
        <w:t xml:space="preserve">（一）公司简介 </w:t>
      </w:r>
    </w:p>
    <w:p>
      <w:pPr>
        <w:spacing w:line="580" w:lineRule="exact"/>
        <w:ind w:firstLine="707" w:firstLineChars="221"/>
        <w:rPr>
          <w:rFonts w:ascii="仿宋_GB2312" w:hAnsi="黑体" w:eastAsia="仿宋_GB2312"/>
          <w:sz w:val="32"/>
          <w:szCs w:val="28"/>
        </w:rPr>
      </w:pPr>
      <w:r>
        <w:rPr>
          <w:rFonts w:ascii="仿宋_GB2312" w:hAnsi="黑体" w:eastAsia="仿宋_GB2312"/>
          <w:sz w:val="32"/>
          <w:szCs w:val="28"/>
        </w:rPr>
        <w:t>枣临铁路西接京沪线井亭站，东至兖石线朱保站，管辖洪洼、山家林、邹坞、枣庄东、税郭、兰陵西、兰陵北、大仲村等八个车站，全长 119.51 公里，于 2012 年 11 月 29 日建成通车。按照山东省委、省政府和国家铁路集团“一省一公司”的重大决策部署，枣临铁路有限责任公司</w:t>
      </w:r>
      <w:r>
        <w:rPr>
          <w:rFonts w:hint="eastAsia" w:ascii="仿宋_GB2312" w:hAnsi="黑体" w:eastAsia="仿宋_GB2312"/>
          <w:sz w:val="32"/>
          <w:szCs w:val="28"/>
          <w:lang w:val="en-US" w:eastAsia="zh-CN"/>
        </w:rPr>
        <w:t>于2020年7月</w:t>
      </w:r>
      <w:r>
        <w:rPr>
          <w:rFonts w:ascii="仿宋_GB2312" w:hAnsi="黑体" w:eastAsia="仿宋_GB2312"/>
          <w:sz w:val="32"/>
          <w:szCs w:val="28"/>
        </w:rPr>
        <w:t>由中国铁路济南局集团有限公司移交山东铁路有限公司。</w:t>
      </w:r>
    </w:p>
    <w:p>
      <w:pPr>
        <w:spacing w:line="580" w:lineRule="exact"/>
        <w:ind w:firstLine="707" w:firstLineChars="221"/>
        <w:rPr>
          <w:rFonts w:ascii="楷体_GB2312" w:hAnsi="黑体" w:eastAsia="楷体_GB2312" w:cs="黑体"/>
          <w:sz w:val="32"/>
          <w:szCs w:val="32"/>
        </w:rPr>
      </w:pPr>
      <w:r>
        <w:rPr>
          <w:rFonts w:hint="eastAsia" w:ascii="楷体_GB2312" w:hAnsi="黑体" w:eastAsia="楷体_GB2312" w:cs="黑体"/>
          <w:sz w:val="32"/>
          <w:szCs w:val="32"/>
        </w:rPr>
        <w:t>（二）公司注册信息</w:t>
      </w:r>
    </w:p>
    <w:p>
      <w:pPr>
        <w:spacing w:line="580" w:lineRule="exact"/>
        <w:ind w:firstLine="640" w:firstLineChars="200"/>
        <w:rPr>
          <w:rFonts w:ascii="仿宋" w:hAnsi="仿宋" w:eastAsia="仿宋" w:cs="仿宋"/>
          <w:sz w:val="32"/>
          <w:szCs w:val="32"/>
        </w:rPr>
      </w:pPr>
      <w:r>
        <w:rPr>
          <w:rFonts w:hint="eastAsia" w:ascii="楷体" w:hAnsi="楷体" w:eastAsia="楷体" w:cs="楷体"/>
          <w:sz w:val="32"/>
          <w:szCs w:val="32"/>
        </w:rPr>
        <w:t>公司名称：</w:t>
      </w:r>
      <w:r>
        <w:rPr>
          <w:rFonts w:hint="eastAsia" w:ascii="仿宋" w:hAnsi="仿宋" w:eastAsia="仿宋" w:cs="仿宋"/>
          <w:sz w:val="32"/>
          <w:szCs w:val="32"/>
        </w:rPr>
        <w:t>枣临铁路有限责任公司</w:t>
      </w:r>
    </w:p>
    <w:p>
      <w:pPr>
        <w:spacing w:line="580" w:lineRule="exact"/>
        <w:ind w:firstLine="640" w:firstLineChars="200"/>
        <w:rPr>
          <w:rFonts w:ascii="仿宋" w:hAnsi="仿宋" w:eastAsia="仿宋" w:cs="仿宋"/>
          <w:sz w:val="32"/>
          <w:szCs w:val="32"/>
        </w:rPr>
      </w:pPr>
      <w:r>
        <w:rPr>
          <w:rFonts w:hint="eastAsia" w:ascii="楷体" w:hAnsi="楷体" w:eastAsia="楷体" w:cs="楷体"/>
          <w:sz w:val="32"/>
          <w:szCs w:val="32"/>
        </w:rPr>
        <w:t>法定代表人：</w:t>
      </w:r>
      <w:r>
        <w:rPr>
          <w:rFonts w:hint="eastAsia" w:ascii="仿宋" w:hAnsi="仿宋" w:eastAsia="仿宋" w:cs="仿宋"/>
          <w:sz w:val="32"/>
          <w:szCs w:val="32"/>
        </w:rPr>
        <w:t>王炎义</w:t>
      </w:r>
    </w:p>
    <w:p>
      <w:pPr>
        <w:spacing w:line="580" w:lineRule="exact"/>
        <w:ind w:firstLine="640" w:firstLineChars="200"/>
        <w:rPr>
          <w:rFonts w:ascii="仿宋" w:hAnsi="仿宋" w:eastAsia="仿宋" w:cs="仿宋"/>
          <w:sz w:val="32"/>
          <w:szCs w:val="32"/>
        </w:rPr>
      </w:pPr>
      <w:r>
        <w:rPr>
          <w:rFonts w:hint="eastAsia" w:ascii="楷体" w:hAnsi="楷体" w:eastAsia="楷体" w:cs="楷体"/>
          <w:sz w:val="32"/>
          <w:szCs w:val="32"/>
        </w:rPr>
        <w:t>统一社会信用代码：</w:t>
      </w:r>
      <w:r>
        <w:rPr>
          <w:rFonts w:hint="eastAsia" w:ascii="仿宋" w:hAnsi="仿宋" w:eastAsia="仿宋" w:cs="仿宋"/>
          <w:sz w:val="32"/>
          <w:szCs w:val="32"/>
        </w:rPr>
        <w:t>9137000068481694XT</w:t>
      </w:r>
      <w:r>
        <w:rPr>
          <w:rFonts w:hint="eastAsia" w:ascii="仿宋" w:hAnsi="仿宋" w:eastAsia="仿宋" w:cs="仿宋"/>
          <w:sz w:val="32"/>
          <w:szCs w:val="32"/>
        </w:rPr>
        <w:tab/>
      </w:r>
    </w:p>
    <w:p>
      <w:pPr>
        <w:spacing w:line="580" w:lineRule="exact"/>
        <w:ind w:firstLine="640" w:firstLineChars="200"/>
        <w:rPr>
          <w:rFonts w:ascii="仿宋" w:hAnsi="仿宋" w:eastAsia="仿宋" w:cs="仿宋"/>
          <w:sz w:val="32"/>
          <w:szCs w:val="32"/>
        </w:rPr>
      </w:pPr>
      <w:r>
        <w:rPr>
          <w:rFonts w:hint="eastAsia" w:ascii="楷体" w:hAnsi="楷体" w:eastAsia="楷体" w:cs="楷体"/>
          <w:sz w:val="32"/>
          <w:szCs w:val="32"/>
        </w:rPr>
        <w:t>营业期限：</w:t>
      </w:r>
      <w:r>
        <w:rPr>
          <w:rFonts w:hint="eastAsia" w:ascii="仿宋" w:hAnsi="仿宋" w:eastAsia="仿宋" w:cs="仿宋"/>
          <w:sz w:val="32"/>
          <w:szCs w:val="32"/>
        </w:rPr>
        <w:t>2009-2-6至2039-2-6</w:t>
      </w:r>
    </w:p>
    <w:p>
      <w:pPr>
        <w:spacing w:line="580" w:lineRule="exact"/>
        <w:ind w:firstLine="640" w:firstLineChars="200"/>
        <w:rPr>
          <w:rFonts w:ascii="仿宋" w:hAnsi="仿宋" w:eastAsia="仿宋" w:cs="仿宋"/>
          <w:sz w:val="32"/>
          <w:szCs w:val="32"/>
        </w:rPr>
      </w:pPr>
      <w:r>
        <w:rPr>
          <w:rFonts w:hint="eastAsia" w:ascii="楷体" w:hAnsi="楷体" w:eastAsia="楷体" w:cs="楷体"/>
          <w:sz w:val="32"/>
          <w:szCs w:val="32"/>
        </w:rPr>
        <w:t>注册资本：</w:t>
      </w:r>
      <w:r>
        <w:rPr>
          <w:rFonts w:hint="eastAsia" w:ascii="仿宋_GB2312" w:eastAsia="仿宋_GB2312"/>
          <w:sz w:val="32"/>
          <w:szCs w:val="32"/>
        </w:rPr>
        <w:t>164859.561707</w:t>
      </w:r>
      <w:r>
        <w:rPr>
          <w:rFonts w:eastAsia="仿宋_GB2312"/>
          <w:sz w:val="32"/>
          <w:szCs w:val="32"/>
        </w:rPr>
        <w:t>万元</w:t>
      </w:r>
    </w:p>
    <w:p>
      <w:pPr>
        <w:spacing w:line="580" w:lineRule="exact"/>
        <w:ind w:firstLine="640" w:firstLineChars="200"/>
        <w:rPr>
          <w:rFonts w:ascii="仿宋" w:hAnsi="仿宋" w:eastAsia="仿宋" w:cs="仿宋"/>
          <w:sz w:val="32"/>
          <w:szCs w:val="32"/>
        </w:rPr>
      </w:pPr>
      <w:r>
        <w:rPr>
          <w:rFonts w:hint="eastAsia" w:ascii="楷体" w:hAnsi="楷体" w:eastAsia="楷体" w:cs="楷体"/>
          <w:sz w:val="32"/>
          <w:szCs w:val="32"/>
        </w:rPr>
        <w:t>公司类型：</w:t>
      </w:r>
      <w:r>
        <w:rPr>
          <w:rFonts w:hint="eastAsia" w:ascii="仿宋" w:hAnsi="仿宋" w:eastAsia="仿宋" w:cs="仿宋"/>
          <w:sz w:val="32"/>
          <w:szCs w:val="32"/>
        </w:rPr>
        <w:t>有限责任公司</w:t>
      </w:r>
      <w:r>
        <w:rPr>
          <w:rFonts w:hint="eastAsia" w:ascii="仿宋" w:hAnsi="仿宋" w:eastAsia="仿宋" w:cs="仿宋"/>
          <w:sz w:val="32"/>
          <w:szCs w:val="32"/>
        </w:rPr>
        <w:tab/>
      </w:r>
    </w:p>
    <w:p>
      <w:pPr>
        <w:spacing w:line="580" w:lineRule="exact"/>
        <w:ind w:firstLine="640" w:firstLineChars="200"/>
        <w:rPr>
          <w:rFonts w:ascii="仿宋" w:hAnsi="仿宋" w:eastAsia="仿宋" w:cs="仿宋"/>
          <w:sz w:val="32"/>
          <w:szCs w:val="32"/>
        </w:rPr>
      </w:pPr>
      <w:r>
        <w:rPr>
          <w:rFonts w:hint="eastAsia" w:ascii="楷体" w:hAnsi="楷体" w:eastAsia="楷体" w:cs="楷体"/>
          <w:sz w:val="32"/>
          <w:szCs w:val="32"/>
        </w:rPr>
        <w:t>登记机关：</w:t>
      </w:r>
      <w:r>
        <w:rPr>
          <w:rFonts w:hint="eastAsia" w:ascii="仿宋" w:hAnsi="仿宋" w:eastAsia="仿宋" w:cs="仿宋"/>
          <w:sz w:val="32"/>
          <w:szCs w:val="32"/>
        </w:rPr>
        <w:t>临沂市兰山区行政审批服务局</w:t>
      </w:r>
      <w:r>
        <w:rPr>
          <w:rFonts w:hint="eastAsia" w:ascii="仿宋" w:hAnsi="仿宋" w:eastAsia="仿宋" w:cs="仿宋"/>
          <w:sz w:val="32"/>
          <w:szCs w:val="32"/>
        </w:rPr>
        <w:tab/>
      </w:r>
    </w:p>
    <w:p>
      <w:pPr>
        <w:spacing w:line="580" w:lineRule="exact"/>
        <w:ind w:firstLine="640" w:firstLineChars="200"/>
        <w:rPr>
          <w:rFonts w:ascii="仿宋" w:hAnsi="仿宋" w:eastAsia="仿宋" w:cs="仿宋"/>
          <w:sz w:val="32"/>
          <w:szCs w:val="32"/>
        </w:rPr>
      </w:pPr>
      <w:r>
        <w:rPr>
          <w:rFonts w:hint="eastAsia" w:ascii="楷体" w:hAnsi="楷体" w:eastAsia="楷体" w:cs="楷体"/>
          <w:sz w:val="32"/>
          <w:szCs w:val="32"/>
        </w:rPr>
        <w:t>注册地址：</w:t>
      </w:r>
      <w:r>
        <w:rPr>
          <w:rFonts w:hint="eastAsia" w:ascii="仿宋" w:hAnsi="仿宋" w:eastAsia="仿宋" w:cs="仿宋"/>
          <w:sz w:val="32"/>
          <w:szCs w:val="32"/>
        </w:rPr>
        <w:t>山东省临沂市兰山区柳青街道沂蒙北路与南京路交汇处山东高速临沂大厦7、8、9层</w:t>
      </w:r>
    </w:p>
    <w:p>
      <w:pPr>
        <w:spacing w:line="580" w:lineRule="exact"/>
        <w:ind w:firstLine="640" w:firstLineChars="200"/>
        <w:rPr>
          <w:rFonts w:ascii="仿宋" w:hAnsi="仿宋" w:eastAsia="仿宋" w:cs="仿宋"/>
          <w:sz w:val="32"/>
          <w:szCs w:val="32"/>
        </w:rPr>
      </w:pPr>
      <w:r>
        <w:rPr>
          <w:rFonts w:hint="eastAsia" w:ascii="楷体" w:hAnsi="楷体" w:eastAsia="楷体" w:cs="楷体"/>
          <w:sz w:val="32"/>
          <w:szCs w:val="32"/>
        </w:rPr>
        <w:t>经营范围：</w:t>
      </w:r>
      <w:r>
        <w:rPr>
          <w:rFonts w:hint="eastAsia" w:ascii="仿宋_GB2312" w:eastAsia="仿宋_GB2312"/>
          <w:bCs/>
          <w:sz w:val="32"/>
          <w:szCs w:val="32"/>
        </w:rPr>
        <w:t>枣临铁路的建设和客货运输，物资仓储（不含危险品）、房地产开发、物业管理（凭资质经营）。</w:t>
      </w:r>
      <w:r>
        <w:rPr>
          <w:rFonts w:hint="eastAsia" w:ascii="仿宋" w:hAnsi="仿宋" w:eastAsia="仿宋" w:cs="仿宋"/>
          <w:sz w:val="32"/>
          <w:szCs w:val="32"/>
        </w:rPr>
        <w:t>（依法须经批准的项目，经相关部门批准后方可开展经营活动）</w:t>
      </w:r>
    </w:p>
    <w:p>
      <w:pPr>
        <w:spacing w:line="580" w:lineRule="exact"/>
        <w:ind w:firstLine="707" w:firstLineChars="221"/>
        <w:rPr>
          <w:rFonts w:ascii="楷体_GB2312" w:hAnsi="黑体" w:eastAsia="楷体_GB2312" w:cs="黑体"/>
          <w:sz w:val="32"/>
          <w:szCs w:val="32"/>
        </w:rPr>
      </w:pPr>
      <w:r>
        <w:rPr>
          <w:rFonts w:hint="eastAsia" w:ascii="楷体_GB2312" w:hAnsi="黑体" w:eastAsia="楷体_GB2312" w:cs="黑体"/>
          <w:sz w:val="32"/>
          <w:szCs w:val="32"/>
        </w:rPr>
        <w:t>（三）股东（发起人）信息</w:t>
      </w:r>
    </w:p>
    <w:p>
      <w:pPr>
        <w:snapToGrid w:val="0"/>
        <w:spacing w:line="580" w:lineRule="exact"/>
        <w:ind w:firstLine="640" w:firstLineChars="200"/>
        <w:rPr>
          <w:rFonts w:ascii="仿宋_GB2312" w:eastAsia="仿宋_GB2312"/>
          <w:sz w:val="32"/>
          <w:szCs w:val="32"/>
        </w:rPr>
      </w:pPr>
      <w:r>
        <w:rPr>
          <w:rFonts w:hint="eastAsia" w:ascii="仿宋_GB2312" w:hAnsi="黑体" w:eastAsia="仿宋_GB2312"/>
          <w:sz w:val="32"/>
          <w:szCs w:val="28"/>
        </w:rPr>
        <w:t>山东铁路有限公司，</w:t>
      </w:r>
      <w:r>
        <w:rPr>
          <w:rFonts w:hint="eastAsia" w:ascii="仿宋_GB2312" w:eastAsia="仿宋_GB2312"/>
          <w:sz w:val="32"/>
          <w:szCs w:val="32"/>
        </w:rPr>
        <w:t>出资117295.961507万元，占公司注册资本的71.149％；</w:t>
      </w:r>
    </w:p>
    <w:p>
      <w:pPr>
        <w:snapToGrid w:val="0"/>
        <w:spacing w:line="580" w:lineRule="exact"/>
        <w:ind w:firstLine="640" w:firstLineChars="200"/>
        <w:rPr>
          <w:rFonts w:ascii="仿宋_GB2312" w:eastAsia="仿宋_GB2312"/>
          <w:sz w:val="32"/>
          <w:szCs w:val="32"/>
        </w:rPr>
      </w:pPr>
      <w:r>
        <w:rPr>
          <w:rFonts w:hint="eastAsia" w:ascii="仿宋_GB2312" w:hAnsi="黑体" w:eastAsia="仿宋_GB2312"/>
          <w:sz w:val="32"/>
          <w:szCs w:val="28"/>
        </w:rPr>
        <w:t>枣庄矿业（集团）有限责任公司，</w:t>
      </w:r>
      <w:r>
        <w:rPr>
          <w:rFonts w:hint="eastAsia" w:ascii="仿宋_GB2312" w:eastAsia="仿宋_GB2312"/>
          <w:sz w:val="32"/>
          <w:szCs w:val="32"/>
        </w:rPr>
        <w:t>出资41459.8402万元，占公司注册资本的25.1486％；</w:t>
      </w:r>
    </w:p>
    <w:p>
      <w:pPr>
        <w:snapToGrid w:val="0"/>
        <w:spacing w:line="580" w:lineRule="exact"/>
        <w:ind w:firstLine="640" w:firstLineChars="200"/>
        <w:rPr>
          <w:rFonts w:ascii="仿宋_GB2312" w:eastAsia="仿宋_GB2312"/>
          <w:sz w:val="32"/>
          <w:szCs w:val="32"/>
        </w:rPr>
      </w:pPr>
      <w:r>
        <w:rPr>
          <w:rFonts w:hint="eastAsia" w:ascii="仿宋_GB2312" w:hAnsi="黑体" w:eastAsia="仿宋_GB2312"/>
          <w:sz w:val="32"/>
          <w:szCs w:val="28"/>
        </w:rPr>
        <w:t>日照港股份有限公司，</w:t>
      </w:r>
      <w:r>
        <w:rPr>
          <w:rFonts w:hint="eastAsia" w:ascii="仿宋_GB2312" w:eastAsia="仿宋_GB2312"/>
          <w:sz w:val="32"/>
          <w:szCs w:val="32"/>
        </w:rPr>
        <w:t>出资5103.76万元，占公司注册资本的3.0958％；</w:t>
      </w:r>
    </w:p>
    <w:p>
      <w:pPr>
        <w:spacing w:line="580" w:lineRule="exact"/>
        <w:ind w:firstLine="640" w:firstLineChars="200"/>
        <w:rPr>
          <w:rFonts w:ascii="仿宋" w:hAnsi="仿宋" w:eastAsia="仿宋" w:cs="仿宋"/>
          <w:sz w:val="32"/>
          <w:szCs w:val="32"/>
        </w:rPr>
      </w:pPr>
      <w:r>
        <w:rPr>
          <w:rFonts w:hint="eastAsia" w:ascii="仿宋_GB2312" w:hAnsi="黑体" w:eastAsia="仿宋_GB2312"/>
          <w:sz w:val="32"/>
          <w:szCs w:val="28"/>
        </w:rPr>
        <w:t>山东星发生物科技股份有限公司，</w:t>
      </w:r>
      <w:r>
        <w:rPr>
          <w:rFonts w:hint="eastAsia" w:ascii="仿宋_GB2312" w:eastAsia="仿宋_GB2312"/>
          <w:sz w:val="32"/>
          <w:szCs w:val="32"/>
        </w:rPr>
        <w:t>出资1000万元，占公司注册资本的0.6066％。</w:t>
      </w:r>
    </w:p>
    <w:p>
      <w:pPr>
        <w:spacing w:line="580" w:lineRule="exact"/>
        <w:ind w:firstLine="707" w:firstLineChars="221"/>
        <w:rPr>
          <w:rFonts w:ascii="楷体_GB2312" w:hAnsi="黑体" w:eastAsia="楷体_GB2312" w:cs="黑体"/>
          <w:sz w:val="32"/>
          <w:szCs w:val="32"/>
        </w:rPr>
      </w:pPr>
      <w:r>
        <w:rPr>
          <w:rFonts w:hint="eastAsia" w:ascii="楷体_GB2312" w:hAnsi="黑体" w:eastAsia="楷体_GB2312" w:cs="黑体"/>
          <w:sz w:val="32"/>
          <w:szCs w:val="32"/>
        </w:rPr>
        <w:t>（四）公司治理及主要人员信息</w:t>
      </w:r>
    </w:p>
    <w:tbl>
      <w:tblPr>
        <w:tblStyle w:val="4"/>
        <w:tblW w:w="8136"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0" w:type="dxa"/>
          <w:bottom w:w="0" w:type="dxa"/>
          <w:right w:w="0" w:type="dxa"/>
        </w:tblCellMar>
      </w:tblPr>
      <w:tblGrid>
        <w:gridCol w:w="2271"/>
        <w:gridCol w:w="2715"/>
        <w:gridCol w:w="315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0" w:hRule="atLeast"/>
          <w:jc w:val="center"/>
        </w:trPr>
        <w:tc>
          <w:tcPr>
            <w:tcW w:w="2271" w:type="dxa"/>
            <w:vMerge w:val="restart"/>
            <w:tcBorders>
              <w:tl2br w:val="nil"/>
              <w:tr2bl w:val="nil"/>
            </w:tcBorders>
            <w:shd w:val="clear" w:color="auto" w:fill="auto"/>
            <w:tcMar>
              <w:top w:w="15" w:type="dxa"/>
              <w:left w:w="15" w:type="dxa"/>
              <w:right w:w="15" w:type="dxa"/>
            </w:tcMar>
            <w:vAlign w:val="center"/>
          </w:tcPr>
          <w:p>
            <w:pPr>
              <w:widowControl/>
              <w:jc w:val="center"/>
              <w:textAlignment w:val="center"/>
              <w:rPr>
                <w:rFonts w:ascii="仿宋" w:hAnsi="仿宋" w:eastAsia="仿宋" w:cs="仿宋"/>
                <w:b/>
                <w:color w:val="000000"/>
                <w:sz w:val="28"/>
                <w:szCs w:val="28"/>
              </w:rPr>
            </w:pPr>
            <w:r>
              <w:rPr>
                <w:rFonts w:hint="eastAsia" w:ascii="仿宋" w:hAnsi="仿宋" w:eastAsia="仿宋" w:cs="仿宋"/>
                <w:b/>
                <w:color w:val="000000"/>
                <w:kern w:val="0"/>
                <w:sz w:val="28"/>
                <w:szCs w:val="28"/>
              </w:rPr>
              <w:t>董事会组成</w:t>
            </w:r>
          </w:p>
        </w:tc>
        <w:tc>
          <w:tcPr>
            <w:tcW w:w="2715" w:type="dxa"/>
            <w:tcBorders>
              <w:tl2br w:val="nil"/>
              <w:tr2bl w:val="nil"/>
            </w:tcBorders>
            <w:shd w:val="clear" w:color="auto" w:fill="auto"/>
            <w:tcMar>
              <w:top w:w="15" w:type="dxa"/>
              <w:left w:w="15" w:type="dxa"/>
              <w:right w:w="15" w:type="dxa"/>
            </w:tcMar>
            <w:vAlign w:val="center"/>
          </w:tcPr>
          <w:p>
            <w:pPr>
              <w:widowControl/>
              <w:jc w:val="center"/>
              <w:textAlignment w:val="center"/>
              <w:rPr>
                <w:rFonts w:ascii="仿宋" w:hAnsi="仿宋" w:eastAsia="仿宋" w:cs="仿宋"/>
                <w:b/>
                <w:color w:val="000000"/>
                <w:sz w:val="28"/>
                <w:szCs w:val="28"/>
              </w:rPr>
            </w:pPr>
            <w:r>
              <w:rPr>
                <w:rFonts w:hint="eastAsia" w:ascii="仿宋" w:hAnsi="仿宋" w:eastAsia="仿宋" w:cs="仿宋"/>
                <w:b/>
                <w:color w:val="000000"/>
                <w:kern w:val="0"/>
                <w:sz w:val="28"/>
                <w:szCs w:val="28"/>
              </w:rPr>
              <w:t>姓名</w:t>
            </w:r>
          </w:p>
        </w:tc>
        <w:tc>
          <w:tcPr>
            <w:tcW w:w="3150" w:type="dxa"/>
            <w:tcBorders>
              <w:tl2br w:val="nil"/>
              <w:tr2bl w:val="nil"/>
            </w:tcBorders>
            <w:shd w:val="clear" w:color="auto" w:fill="auto"/>
            <w:tcMar>
              <w:top w:w="15" w:type="dxa"/>
              <w:left w:w="15" w:type="dxa"/>
              <w:right w:w="15" w:type="dxa"/>
            </w:tcMar>
            <w:vAlign w:val="center"/>
          </w:tcPr>
          <w:p>
            <w:pPr>
              <w:widowControl/>
              <w:jc w:val="center"/>
              <w:textAlignment w:val="center"/>
              <w:rPr>
                <w:rFonts w:ascii="仿宋" w:hAnsi="仿宋" w:eastAsia="仿宋" w:cs="仿宋"/>
                <w:b/>
                <w:color w:val="000000"/>
                <w:sz w:val="28"/>
                <w:szCs w:val="28"/>
              </w:rPr>
            </w:pPr>
            <w:r>
              <w:rPr>
                <w:rFonts w:hint="eastAsia" w:ascii="仿宋" w:hAnsi="仿宋" w:eastAsia="仿宋" w:cs="仿宋"/>
                <w:b/>
                <w:color w:val="000000"/>
                <w:kern w:val="0"/>
                <w:sz w:val="28"/>
                <w:szCs w:val="28"/>
              </w:rPr>
              <w:t>职务</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0" w:hRule="atLeast"/>
          <w:jc w:val="center"/>
        </w:trPr>
        <w:tc>
          <w:tcPr>
            <w:tcW w:w="2271" w:type="dxa"/>
            <w:vMerge w:val="continue"/>
            <w:tcBorders>
              <w:tl2br w:val="nil"/>
              <w:tr2bl w:val="nil"/>
            </w:tcBorders>
            <w:shd w:val="clear" w:color="auto" w:fill="auto"/>
            <w:tcMar>
              <w:top w:w="15" w:type="dxa"/>
              <w:left w:w="15" w:type="dxa"/>
              <w:right w:w="15" w:type="dxa"/>
            </w:tcMar>
            <w:vAlign w:val="center"/>
          </w:tcPr>
          <w:p>
            <w:pPr>
              <w:jc w:val="center"/>
              <w:rPr>
                <w:rFonts w:ascii="仿宋" w:hAnsi="仿宋" w:eastAsia="仿宋" w:cs="仿宋"/>
                <w:b/>
                <w:color w:val="000000"/>
                <w:sz w:val="28"/>
                <w:szCs w:val="28"/>
              </w:rPr>
            </w:pPr>
          </w:p>
        </w:tc>
        <w:tc>
          <w:tcPr>
            <w:tcW w:w="2715" w:type="dxa"/>
            <w:tcBorders>
              <w:tl2br w:val="nil"/>
              <w:tr2bl w:val="nil"/>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王炎义</w:t>
            </w:r>
          </w:p>
        </w:tc>
        <w:tc>
          <w:tcPr>
            <w:tcW w:w="3150" w:type="dxa"/>
            <w:tcBorders>
              <w:tl2br w:val="nil"/>
              <w:tr2bl w:val="nil"/>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董事长</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0" w:hRule="atLeast"/>
          <w:jc w:val="center"/>
        </w:trPr>
        <w:tc>
          <w:tcPr>
            <w:tcW w:w="2271" w:type="dxa"/>
            <w:vMerge w:val="continue"/>
            <w:tcBorders>
              <w:tl2br w:val="nil"/>
              <w:tr2bl w:val="nil"/>
            </w:tcBorders>
            <w:shd w:val="clear" w:color="auto" w:fill="auto"/>
            <w:tcMar>
              <w:top w:w="15" w:type="dxa"/>
              <w:left w:w="15" w:type="dxa"/>
              <w:right w:w="15" w:type="dxa"/>
            </w:tcMar>
            <w:vAlign w:val="center"/>
          </w:tcPr>
          <w:p>
            <w:pPr>
              <w:jc w:val="center"/>
              <w:rPr>
                <w:rFonts w:ascii="仿宋" w:hAnsi="仿宋" w:eastAsia="仿宋" w:cs="仿宋"/>
                <w:b/>
                <w:color w:val="000000"/>
                <w:sz w:val="28"/>
                <w:szCs w:val="28"/>
              </w:rPr>
            </w:pPr>
          </w:p>
        </w:tc>
        <w:tc>
          <w:tcPr>
            <w:tcW w:w="2715" w:type="dxa"/>
            <w:tcBorders>
              <w:tl2br w:val="nil"/>
              <w:tr2bl w:val="nil"/>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color w:val="000000"/>
                <w:sz w:val="28"/>
                <w:szCs w:val="28"/>
                <w:lang w:eastAsia="zh-CN"/>
              </w:rPr>
            </w:pPr>
            <w:r>
              <w:rPr>
                <w:rFonts w:hint="eastAsia" w:ascii="仿宋" w:hAnsi="仿宋" w:eastAsia="仿宋" w:cs="仿宋"/>
                <w:color w:val="000000"/>
                <w:kern w:val="0"/>
                <w:sz w:val="28"/>
                <w:szCs w:val="28"/>
                <w:lang w:val="en-US" w:eastAsia="zh-CN"/>
              </w:rPr>
              <w:t>李刚</w:t>
            </w:r>
          </w:p>
        </w:tc>
        <w:tc>
          <w:tcPr>
            <w:tcW w:w="3150" w:type="dxa"/>
            <w:tcBorders>
              <w:tl2br w:val="nil"/>
              <w:tr2bl w:val="nil"/>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副董事长</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0" w:hRule="atLeast"/>
          <w:jc w:val="center"/>
        </w:trPr>
        <w:tc>
          <w:tcPr>
            <w:tcW w:w="2271" w:type="dxa"/>
            <w:vMerge w:val="continue"/>
            <w:tcBorders>
              <w:tl2br w:val="nil"/>
              <w:tr2bl w:val="nil"/>
            </w:tcBorders>
            <w:shd w:val="clear" w:color="auto" w:fill="auto"/>
            <w:tcMar>
              <w:top w:w="15" w:type="dxa"/>
              <w:left w:w="15" w:type="dxa"/>
              <w:right w:w="15" w:type="dxa"/>
            </w:tcMar>
            <w:vAlign w:val="center"/>
          </w:tcPr>
          <w:p>
            <w:pPr>
              <w:jc w:val="center"/>
              <w:rPr>
                <w:rFonts w:ascii="仿宋" w:hAnsi="仿宋" w:eastAsia="仿宋" w:cs="仿宋"/>
                <w:b/>
                <w:color w:val="000000"/>
                <w:sz w:val="28"/>
                <w:szCs w:val="28"/>
              </w:rPr>
            </w:pPr>
          </w:p>
        </w:tc>
        <w:tc>
          <w:tcPr>
            <w:tcW w:w="2715" w:type="dxa"/>
            <w:tcBorders>
              <w:tl2br w:val="nil"/>
              <w:tr2bl w:val="nil"/>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徐继璋</w:t>
            </w:r>
          </w:p>
        </w:tc>
        <w:tc>
          <w:tcPr>
            <w:tcW w:w="3150" w:type="dxa"/>
            <w:tcBorders>
              <w:tl2br w:val="nil"/>
              <w:tr2bl w:val="nil"/>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董事</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0" w:hRule="atLeast"/>
          <w:jc w:val="center"/>
        </w:trPr>
        <w:tc>
          <w:tcPr>
            <w:tcW w:w="2271" w:type="dxa"/>
            <w:vMerge w:val="continue"/>
            <w:tcBorders>
              <w:tl2br w:val="nil"/>
              <w:tr2bl w:val="nil"/>
            </w:tcBorders>
            <w:shd w:val="clear" w:color="auto" w:fill="auto"/>
            <w:tcMar>
              <w:top w:w="15" w:type="dxa"/>
              <w:left w:w="15" w:type="dxa"/>
              <w:right w:w="15" w:type="dxa"/>
            </w:tcMar>
            <w:vAlign w:val="center"/>
          </w:tcPr>
          <w:p>
            <w:pPr>
              <w:jc w:val="center"/>
              <w:rPr>
                <w:rFonts w:ascii="仿宋" w:hAnsi="仿宋" w:eastAsia="仿宋" w:cs="仿宋"/>
                <w:b/>
                <w:color w:val="000000"/>
                <w:sz w:val="28"/>
                <w:szCs w:val="28"/>
              </w:rPr>
            </w:pPr>
          </w:p>
        </w:tc>
        <w:tc>
          <w:tcPr>
            <w:tcW w:w="2715" w:type="dxa"/>
            <w:tcBorders>
              <w:tl2br w:val="nil"/>
              <w:tr2bl w:val="nil"/>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常学谦</w:t>
            </w:r>
          </w:p>
        </w:tc>
        <w:tc>
          <w:tcPr>
            <w:tcW w:w="3150" w:type="dxa"/>
            <w:tcBorders>
              <w:tl2br w:val="nil"/>
              <w:tr2bl w:val="nil"/>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董事</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0" w:hRule="atLeast"/>
          <w:jc w:val="center"/>
        </w:trPr>
        <w:tc>
          <w:tcPr>
            <w:tcW w:w="2271" w:type="dxa"/>
            <w:vMerge w:val="continue"/>
            <w:tcBorders>
              <w:tl2br w:val="nil"/>
              <w:tr2bl w:val="nil"/>
            </w:tcBorders>
            <w:shd w:val="clear" w:color="auto" w:fill="auto"/>
            <w:tcMar>
              <w:top w:w="15" w:type="dxa"/>
              <w:left w:w="15" w:type="dxa"/>
              <w:right w:w="15" w:type="dxa"/>
            </w:tcMar>
            <w:vAlign w:val="center"/>
          </w:tcPr>
          <w:p>
            <w:pPr>
              <w:jc w:val="center"/>
              <w:rPr>
                <w:rFonts w:ascii="仿宋" w:hAnsi="仿宋" w:eastAsia="仿宋" w:cs="仿宋"/>
                <w:b/>
                <w:color w:val="000000"/>
                <w:sz w:val="28"/>
                <w:szCs w:val="28"/>
              </w:rPr>
            </w:pPr>
          </w:p>
        </w:tc>
        <w:tc>
          <w:tcPr>
            <w:tcW w:w="2715" w:type="dxa"/>
            <w:tcBorders>
              <w:tl2br w:val="nil"/>
              <w:tr2bl w:val="nil"/>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张光岩</w:t>
            </w:r>
          </w:p>
        </w:tc>
        <w:tc>
          <w:tcPr>
            <w:tcW w:w="3150" w:type="dxa"/>
            <w:tcBorders>
              <w:tl2br w:val="nil"/>
              <w:tr2bl w:val="nil"/>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董事</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0" w:hRule="atLeast"/>
          <w:jc w:val="center"/>
        </w:trPr>
        <w:tc>
          <w:tcPr>
            <w:tcW w:w="2271" w:type="dxa"/>
            <w:vMerge w:val="continue"/>
            <w:tcBorders>
              <w:tl2br w:val="nil"/>
              <w:tr2bl w:val="nil"/>
            </w:tcBorders>
            <w:shd w:val="clear" w:color="auto" w:fill="auto"/>
            <w:tcMar>
              <w:top w:w="15" w:type="dxa"/>
              <w:left w:w="15" w:type="dxa"/>
              <w:right w:w="15" w:type="dxa"/>
            </w:tcMar>
            <w:vAlign w:val="center"/>
          </w:tcPr>
          <w:p>
            <w:pPr>
              <w:jc w:val="center"/>
              <w:rPr>
                <w:rFonts w:ascii="仿宋" w:hAnsi="仿宋" w:eastAsia="仿宋" w:cs="仿宋"/>
                <w:b/>
                <w:color w:val="000000"/>
                <w:sz w:val="28"/>
                <w:szCs w:val="28"/>
              </w:rPr>
            </w:pPr>
          </w:p>
        </w:tc>
        <w:tc>
          <w:tcPr>
            <w:tcW w:w="2715" w:type="dxa"/>
            <w:tcBorders>
              <w:tl2br w:val="nil"/>
              <w:tr2bl w:val="nil"/>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8"/>
                <w:szCs w:val="28"/>
                <w:lang w:eastAsia="zh-CN"/>
              </w:rPr>
            </w:pPr>
            <w:r>
              <w:rPr>
                <w:rFonts w:hint="eastAsia" w:ascii="仿宋" w:hAnsi="仿宋" w:eastAsia="仿宋" w:cs="仿宋"/>
                <w:color w:val="000000"/>
                <w:kern w:val="0"/>
                <w:sz w:val="28"/>
                <w:szCs w:val="28"/>
                <w:lang w:val="en-US" w:eastAsia="zh-CN"/>
              </w:rPr>
              <w:t>金新文</w:t>
            </w:r>
          </w:p>
        </w:tc>
        <w:tc>
          <w:tcPr>
            <w:tcW w:w="3150" w:type="dxa"/>
            <w:tcBorders>
              <w:tl2br w:val="nil"/>
              <w:tr2bl w:val="nil"/>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董事</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0" w:hRule="atLeast"/>
          <w:jc w:val="center"/>
        </w:trPr>
        <w:tc>
          <w:tcPr>
            <w:tcW w:w="2271" w:type="dxa"/>
            <w:vMerge w:val="continue"/>
            <w:tcBorders>
              <w:tl2br w:val="nil"/>
              <w:tr2bl w:val="nil"/>
            </w:tcBorders>
            <w:shd w:val="clear" w:color="auto" w:fill="auto"/>
            <w:tcMar>
              <w:top w:w="15" w:type="dxa"/>
              <w:left w:w="15" w:type="dxa"/>
              <w:right w:w="15" w:type="dxa"/>
            </w:tcMar>
            <w:vAlign w:val="center"/>
          </w:tcPr>
          <w:p>
            <w:pPr>
              <w:jc w:val="center"/>
              <w:rPr>
                <w:rFonts w:ascii="仿宋" w:hAnsi="仿宋" w:eastAsia="仿宋" w:cs="仿宋"/>
                <w:b/>
                <w:color w:val="000000"/>
                <w:sz w:val="28"/>
                <w:szCs w:val="28"/>
              </w:rPr>
            </w:pPr>
          </w:p>
        </w:tc>
        <w:tc>
          <w:tcPr>
            <w:tcW w:w="2715" w:type="dxa"/>
            <w:tcBorders>
              <w:tl2br w:val="nil"/>
              <w:tr2bl w:val="nil"/>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rPr>
              <w:t>沈兆静</w:t>
            </w:r>
          </w:p>
        </w:tc>
        <w:tc>
          <w:tcPr>
            <w:tcW w:w="3150" w:type="dxa"/>
            <w:tcBorders>
              <w:tl2br w:val="nil"/>
              <w:tr2bl w:val="nil"/>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rPr>
              <w:t>董事</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0" w:hRule="atLeast"/>
          <w:jc w:val="center"/>
        </w:trPr>
        <w:tc>
          <w:tcPr>
            <w:tcW w:w="2271" w:type="dxa"/>
            <w:vMerge w:val="continue"/>
            <w:tcBorders>
              <w:tl2br w:val="nil"/>
              <w:tr2bl w:val="nil"/>
            </w:tcBorders>
            <w:shd w:val="clear" w:color="auto" w:fill="auto"/>
            <w:tcMar>
              <w:top w:w="15" w:type="dxa"/>
              <w:left w:w="15" w:type="dxa"/>
              <w:right w:w="15" w:type="dxa"/>
            </w:tcMar>
            <w:vAlign w:val="center"/>
          </w:tcPr>
          <w:p>
            <w:pPr>
              <w:jc w:val="center"/>
              <w:rPr>
                <w:rFonts w:ascii="仿宋" w:hAnsi="仿宋" w:eastAsia="仿宋" w:cs="仿宋"/>
                <w:b/>
                <w:color w:val="000000"/>
                <w:sz w:val="28"/>
                <w:szCs w:val="28"/>
              </w:rPr>
            </w:pPr>
          </w:p>
        </w:tc>
        <w:tc>
          <w:tcPr>
            <w:tcW w:w="2715" w:type="dxa"/>
            <w:tcBorders>
              <w:tl2br w:val="nil"/>
              <w:tr2bl w:val="nil"/>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kern w:val="2"/>
                <w:sz w:val="28"/>
                <w:szCs w:val="28"/>
                <w:lang w:val="en-US" w:eastAsia="zh-CN" w:bidi="ar-SA"/>
              </w:rPr>
            </w:pPr>
            <w:r>
              <w:rPr>
                <w:rFonts w:hint="eastAsia" w:ascii="仿宋" w:hAnsi="仿宋" w:eastAsia="仿宋" w:cs="仿宋"/>
                <w:color w:val="000000"/>
                <w:kern w:val="0"/>
                <w:sz w:val="28"/>
                <w:szCs w:val="28"/>
              </w:rPr>
              <w:t>蒋继超</w:t>
            </w:r>
          </w:p>
        </w:tc>
        <w:tc>
          <w:tcPr>
            <w:tcW w:w="3150" w:type="dxa"/>
            <w:tcBorders>
              <w:tl2br w:val="nil"/>
              <w:tr2bl w:val="nil"/>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kern w:val="2"/>
                <w:sz w:val="28"/>
                <w:szCs w:val="28"/>
                <w:lang w:val="en-US" w:eastAsia="zh-CN" w:bidi="ar-SA"/>
              </w:rPr>
            </w:pPr>
            <w:r>
              <w:rPr>
                <w:rFonts w:hint="eastAsia" w:ascii="仿宋" w:hAnsi="仿宋" w:eastAsia="仿宋" w:cs="仿宋"/>
                <w:color w:val="000000"/>
                <w:kern w:val="0"/>
                <w:sz w:val="28"/>
                <w:szCs w:val="28"/>
              </w:rPr>
              <w:t>董事</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0" w:hRule="atLeast"/>
          <w:jc w:val="center"/>
        </w:trPr>
        <w:tc>
          <w:tcPr>
            <w:tcW w:w="2271" w:type="dxa"/>
            <w:vMerge w:val="continue"/>
            <w:tcBorders>
              <w:tl2br w:val="nil"/>
              <w:tr2bl w:val="nil"/>
            </w:tcBorders>
            <w:shd w:val="clear" w:color="auto" w:fill="auto"/>
            <w:tcMar>
              <w:top w:w="15" w:type="dxa"/>
              <w:left w:w="15" w:type="dxa"/>
              <w:right w:w="15" w:type="dxa"/>
            </w:tcMar>
            <w:vAlign w:val="center"/>
          </w:tcPr>
          <w:p>
            <w:pPr>
              <w:jc w:val="center"/>
              <w:rPr>
                <w:rFonts w:ascii="仿宋" w:hAnsi="仿宋" w:eastAsia="仿宋" w:cs="仿宋"/>
                <w:b/>
                <w:color w:val="000000"/>
                <w:sz w:val="28"/>
                <w:szCs w:val="28"/>
              </w:rPr>
            </w:pPr>
          </w:p>
        </w:tc>
        <w:tc>
          <w:tcPr>
            <w:tcW w:w="2715" w:type="dxa"/>
            <w:tcBorders>
              <w:tl2br w:val="nil"/>
              <w:tr2bl w:val="nil"/>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于世玮</w:t>
            </w:r>
          </w:p>
        </w:tc>
        <w:tc>
          <w:tcPr>
            <w:tcW w:w="3150" w:type="dxa"/>
            <w:tcBorders>
              <w:tl2br w:val="nil"/>
              <w:tr2bl w:val="nil"/>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职工董事</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0" w:hRule="atLeast"/>
          <w:jc w:val="center"/>
        </w:trPr>
        <w:tc>
          <w:tcPr>
            <w:tcW w:w="2271" w:type="dxa"/>
            <w:vMerge w:val="restart"/>
            <w:tcBorders>
              <w:tl2br w:val="nil"/>
              <w:tr2bl w:val="nil"/>
            </w:tcBorders>
            <w:shd w:val="clear" w:color="auto" w:fill="auto"/>
            <w:tcMar>
              <w:top w:w="15" w:type="dxa"/>
              <w:left w:w="15" w:type="dxa"/>
              <w:right w:w="15" w:type="dxa"/>
            </w:tcMar>
            <w:vAlign w:val="center"/>
          </w:tcPr>
          <w:p>
            <w:pPr>
              <w:widowControl/>
              <w:jc w:val="center"/>
              <w:textAlignment w:val="center"/>
              <w:rPr>
                <w:rFonts w:ascii="仿宋" w:hAnsi="仿宋" w:eastAsia="仿宋" w:cs="仿宋"/>
                <w:b/>
                <w:color w:val="000000"/>
                <w:sz w:val="28"/>
                <w:szCs w:val="28"/>
              </w:rPr>
            </w:pPr>
            <w:r>
              <w:rPr>
                <w:rFonts w:hint="eastAsia" w:ascii="仿宋" w:hAnsi="仿宋" w:eastAsia="仿宋" w:cs="仿宋"/>
                <w:b/>
                <w:color w:val="000000"/>
                <w:kern w:val="0"/>
                <w:sz w:val="28"/>
                <w:szCs w:val="28"/>
              </w:rPr>
              <w:t>监事会组成</w:t>
            </w:r>
          </w:p>
        </w:tc>
        <w:tc>
          <w:tcPr>
            <w:tcW w:w="2715" w:type="dxa"/>
            <w:tcBorders>
              <w:tl2br w:val="nil"/>
              <w:tr2bl w:val="nil"/>
            </w:tcBorders>
            <w:shd w:val="clear" w:color="auto" w:fill="auto"/>
            <w:tcMar>
              <w:top w:w="15" w:type="dxa"/>
              <w:left w:w="15" w:type="dxa"/>
              <w:right w:w="15" w:type="dxa"/>
            </w:tcMar>
            <w:vAlign w:val="center"/>
          </w:tcPr>
          <w:p>
            <w:pPr>
              <w:widowControl/>
              <w:jc w:val="center"/>
              <w:textAlignment w:val="center"/>
              <w:rPr>
                <w:rFonts w:ascii="仿宋" w:hAnsi="仿宋" w:eastAsia="仿宋" w:cs="仿宋"/>
                <w:b/>
                <w:color w:val="000000"/>
                <w:sz w:val="28"/>
                <w:szCs w:val="28"/>
              </w:rPr>
            </w:pPr>
            <w:r>
              <w:rPr>
                <w:rFonts w:hint="eastAsia" w:ascii="仿宋" w:hAnsi="仿宋" w:eastAsia="仿宋" w:cs="仿宋"/>
                <w:b/>
                <w:color w:val="000000"/>
                <w:kern w:val="0"/>
                <w:sz w:val="28"/>
                <w:szCs w:val="28"/>
              </w:rPr>
              <w:t>姓名</w:t>
            </w:r>
          </w:p>
        </w:tc>
        <w:tc>
          <w:tcPr>
            <w:tcW w:w="3150" w:type="dxa"/>
            <w:tcBorders>
              <w:tl2br w:val="nil"/>
              <w:tr2bl w:val="nil"/>
            </w:tcBorders>
            <w:shd w:val="clear" w:color="auto" w:fill="auto"/>
            <w:tcMar>
              <w:top w:w="15" w:type="dxa"/>
              <w:left w:w="15" w:type="dxa"/>
              <w:right w:w="15" w:type="dxa"/>
            </w:tcMar>
            <w:vAlign w:val="center"/>
          </w:tcPr>
          <w:p>
            <w:pPr>
              <w:widowControl/>
              <w:jc w:val="center"/>
              <w:textAlignment w:val="center"/>
              <w:rPr>
                <w:rFonts w:ascii="仿宋" w:hAnsi="仿宋" w:eastAsia="仿宋" w:cs="仿宋"/>
                <w:b/>
                <w:color w:val="000000"/>
                <w:sz w:val="28"/>
                <w:szCs w:val="28"/>
              </w:rPr>
            </w:pPr>
            <w:r>
              <w:rPr>
                <w:rFonts w:hint="eastAsia" w:ascii="仿宋" w:hAnsi="仿宋" w:eastAsia="仿宋" w:cs="仿宋"/>
                <w:b/>
                <w:color w:val="000000"/>
                <w:kern w:val="0"/>
                <w:sz w:val="28"/>
                <w:szCs w:val="28"/>
              </w:rPr>
              <w:t>职务</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0" w:hRule="atLeast"/>
          <w:jc w:val="center"/>
        </w:trPr>
        <w:tc>
          <w:tcPr>
            <w:tcW w:w="2271" w:type="dxa"/>
            <w:vMerge w:val="continue"/>
            <w:tcBorders>
              <w:tl2br w:val="nil"/>
              <w:tr2bl w:val="nil"/>
            </w:tcBorders>
            <w:shd w:val="clear" w:color="auto" w:fill="auto"/>
            <w:tcMar>
              <w:top w:w="15" w:type="dxa"/>
              <w:left w:w="15" w:type="dxa"/>
              <w:right w:w="15" w:type="dxa"/>
            </w:tcMar>
            <w:vAlign w:val="center"/>
          </w:tcPr>
          <w:p>
            <w:pPr>
              <w:jc w:val="center"/>
              <w:rPr>
                <w:rFonts w:ascii="仿宋" w:hAnsi="仿宋" w:eastAsia="仿宋" w:cs="仿宋"/>
                <w:b/>
                <w:color w:val="000000"/>
                <w:sz w:val="28"/>
                <w:szCs w:val="28"/>
              </w:rPr>
            </w:pPr>
          </w:p>
        </w:tc>
        <w:tc>
          <w:tcPr>
            <w:tcW w:w="2715" w:type="dxa"/>
            <w:tcBorders>
              <w:tl2br w:val="nil"/>
              <w:tr2bl w:val="nil"/>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color w:val="000000"/>
                <w:sz w:val="28"/>
                <w:szCs w:val="28"/>
                <w:lang w:eastAsia="zh-CN"/>
              </w:rPr>
            </w:pPr>
            <w:r>
              <w:rPr>
                <w:rFonts w:hint="eastAsia" w:ascii="仿宋" w:hAnsi="仿宋" w:eastAsia="仿宋" w:cs="仿宋"/>
                <w:color w:val="000000"/>
                <w:kern w:val="0"/>
                <w:sz w:val="28"/>
                <w:szCs w:val="28"/>
                <w:lang w:val="en-US" w:eastAsia="zh-CN"/>
              </w:rPr>
              <w:t>冯慧</w:t>
            </w:r>
          </w:p>
        </w:tc>
        <w:tc>
          <w:tcPr>
            <w:tcW w:w="3150" w:type="dxa"/>
            <w:tcBorders>
              <w:tl2br w:val="nil"/>
              <w:tr2bl w:val="nil"/>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监事会主席</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0" w:hRule="atLeast"/>
          <w:jc w:val="center"/>
        </w:trPr>
        <w:tc>
          <w:tcPr>
            <w:tcW w:w="2271" w:type="dxa"/>
            <w:vMerge w:val="continue"/>
            <w:tcBorders>
              <w:tl2br w:val="nil"/>
              <w:tr2bl w:val="nil"/>
            </w:tcBorders>
            <w:shd w:val="clear" w:color="auto" w:fill="auto"/>
            <w:tcMar>
              <w:top w:w="15" w:type="dxa"/>
              <w:left w:w="15" w:type="dxa"/>
              <w:right w:w="15" w:type="dxa"/>
            </w:tcMar>
            <w:vAlign w:val="center"/>
          </w:tcPr>
          <w:p>
            <w:pPr>
              <w:jc w:val="center"/>
              <w:rPr>
                <w:rFonts w:ascii="仿宋" w:hAnsi="仿宋" w:eastAsia="仿宋" w:cs="仿宋"/>
                <w:b/>
                <w:color w:val="000000"/>
                <w:sz w:val="28"/>
                <w:szCs w:val="28"/>
              </w:rPr>
            </w:pPr>
          </w:p>
        </w:tc>
        <w:tc>
          <w:tcPr>
            <w:tcW w:w="2715" w:type="dxa"/>
            <w:tcBorders>
              <w:tl2br w:val="nil"/>
              <w:tr2bl w:val="nil"/>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袁京廷</w:t>
            </w:r>
          </w:p>
        </w:tc>
        <w:tc>
          <w:tcPr>
            <w:tcW w:w="3150" w:type="dxa"/>
            <w:tcBorders>
              <w:tl2br w:val="nil"/>
              <w:tr2bl w:val="nil"/>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监事</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0" w:hRule="atLeast"/>
          <w:jc w:val="center"/>
        </w:trPr>
        <w:tc>
          <w:tcPr>
            <w:tcW w:w="2271" w:type="dxa"/>
            <w:vMerge w:val="continue"/>
            <w:tcBorders>
              <w:tl2br w:val="nil"/>
              <w:tr2bl w:val="nil"/>
            </w:tcBorders>
            <w:shd w:val="clear" w:color="auto" w:fill="auto"/>
            <w:tcMar>
              <w:top w:w="15" w:type="dxa"/>
              <w:left w:w="15" w:type="dxa"/>
              <w:right w:w="15" w:type="dxa"/>
            </w:tcMar>
            <w:vAlign w:val="center"/>
          </w:tcPr>
          <w:p>
            <w:pPr>
              <w:jc w:val="center"/>
              <w:rPr>
                <w:rFonts w:ascii="仿宋" w:hAnsi="仿宋" w:eastAsia="仿宋" w:cs="仿宋"/>
                <w:b/>
                <w:color w:val="000000"/>
                <w:sz w:val="28"/>
                <w:szCs w:val="28"/>
              </w:rPr>
            </w:pPr>
          </w:p>
        </w:tc>
        <w:tc>
          <w:tcPr>
            <w:tcW w:w="2715" w:type="dxa"/>
            <w:tcBorders>
              <w:tl2br w:val="nil"/>
              <w:tr2bl w:val="nil"/>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何吉沣</w:t>
            </w:r>
          </w:p>
        </w:tc>
        <w:tc>
          <w:tcPr>
            <w:tcW w:w="3150" w:type="dxa"/>
            <w:tcBorders>
              <w:tl2br w:val="nil"/>
              <w:tr2bl w:val="nil"/>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监事</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0" w:hRule="atLeast"/>
          <w:jc w:val="center"/>
        </w:trPr>
        <w:tc>
          <w:tcPr>
            <w:tcW w:w="2271" w:type="dxa"/>
            <w:vMerge w:val="continue"/>
            <w:tcBorders>
              <w:tl2br w:val="nil"/>
              <w:tr2bl w:val="nil"/>
            </w:tcBorders>
            <w:shd w:val="clear" w:color="auto" w:fill="auto"/>
            <w:tcMar>
              <w:top w:w="15" w:type="dxa"/>
              <w:left w:w="15" w:type="dxa"/>
              <w:right w:w="15" w:type="dxa"/>
            </w:tcMar>
            <w:vAlign w:val="center"/>
          </w:tcPr>
          <w:p>
            <w:pPr>
              <w:jc w:val="center"/>
              <w:rPr>
                <w:rFonts w:ascii="仿宋" w:hAnsi="仿宋" w:eastAsia="仿宋" w:cs="仿宋"/>
                <w:b/>
                <w:color w:val="000000"/>
                <w:sz w:val="28"/>
                <w:szCs w:val="28"/>
              </w:rPr>
            </w:pPr>
          </w:p>
        </w:tc>
        <w:tc>
          <w:tcPr>
            <w:tcW w:w="2715" w:type="dxa"/>
            <w:tcBorders>
              <w:tl2br w:val="nil"/>
              <w:tr2bl w:val="nil"/>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徐帅</w:t>
            </w:r>
          </w:p>
        </w:tc>
        <w:tc>
          <w:tcPr>
            <w:tcW w:w="3150" w:type="dxa"/>
            <w:tcBorders>
              <w:tl2br w:val="nil"/>
              <w:tr2bl w:val="nil"/>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监事</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0" w:hRule="atLeast"/>
          <w:jc w:val="center"/>
        </w:trPr>
        <w:tc>
          <w:tcPr>
            <w:tcW w:w="2271" w:type="dxa"/>
            <w:vMerge w:val="continue"/>
            <w:tcBorders>
              <w:tl2br w:val="nil"/>
              <w:tr2bl w:val="nil"/>
            </w:tcBorders>
            <w:shd w:val="clear" w:color="auto" w:fill="auto"/>
            <w:tcMar>
              <w:top w:w="15" w:type="dxa"/>
              <w:left w:w="15" w:type="dxa"/>
              <w:right w:w="15" w:type="dxa"/>
            </w:tcMar>
            <w:vAlign w:val="center"/>
          </w:tcPr>
          <w:p>
            <w:pPr>
              <w:jc w:val="center"/>
              <w:rPr>
                <w:rFonts w:ascii="仿宋" w:hAnsi="仿宋" w:eastAsia="仿宋" w:cs="仿宋"/>
                <w:b/>
                <w:color w:val="000000"/>
                <w:sz w:val="28"/>
                <w:szCs w:val="28"/>
              </w:rPr>
            </w:pPr>
          </w:p>
        </w:tc>
        <w:tc>
          <w:tcPr>
            <w:tcW w:w="2715" w:type="dxa"/>
            <w:tcBorders>
              <w:tl2br w:val="nil"/>
              <w:tr2bl w:val="nil"/>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董春千</w:t>
            </w:r>
          </w:p>
        </w:tc>
        <w:tc>
          <w:tcPr>
            <w:tcW w:w="3150" w:type="dxa"/>
            <w:tcBorders>
              <w:tl2br w:val="nil"/>
              <w:tr2bl w:val="nil"/>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职工监事</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0" w:hRule="atLeast"/>
          <w:jc w:val="center"/>
        </w:trPr>
        <w:tc>
          <w:tcPr>
            <w:tcW w:w="2271" w:type="dxa"/>
            <w:vMerge w:val="continue"/>
            <w:tcBorders>
              <w:tl2br w:val="nil"/>
              <w:tr2bl w:val="nil"/>
            </w:tcBorders>
            <w:shd w:val="clear" w:color="auto" w:fill="auto"/>
            <w:tcMar>
              <w:top w:w="15" w:type="dxa"/>
              <w:left w:w="15" w:type="dxa"/>
              <w:right w:w="15" w:type="dxa"/>
            </w:tcMar>
            <w:vAlign w:val="center"/>
          </w:tcPr>
          <w:p>
            <w:pPr>
              <w:jc w:val="center"/>
              <w:rPr>
                <w:rFonts w:ascii="仿宋" w:hAnsi="仿宋" w:eastAsia="仿宋" w:cs="仿宋"/>
                <w:b/>
                <w:color w:val="000000"/>
                <w:sz w:val="28"/>
                <w:szCs w:val="28"/>
              </w:rPr>
            </w:pPr>
          </w:p>
        </w:tc>
        <w:tc>
          <w:tcPr>
            <w:tcW w:w="2715" w:type="dxa"/>
            <w:tcBorders>
              <w:tl2br w:val="nil"/>
              <w:tr2bl w:val="nil"/>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8"/>
                <w:szCs w:val="28"/>
                <w:lang w:eastAsia="zh-CN"/>
              </w:rPr>
            </w:pPr>
            <w:r>
              <w:rPr>
                <w:rFonts w:hint="eastAsia" w:ascii="仿宋" w:hAnsi="仿宋" w:eastAsia="仿宋" w:cs="仿宋"/>
                <w:color w:val="000000"/>
                <w:kern w:val="0"/>
                <w:sz w:val="28"/>
                <w:szCs w:val="28"/>
                <w:lang w:val="en-US" w:eastAsia="zh-CN"/>
              </w:rPr>
              <w:t>卢祥龙</w:t>
            </w:r>
          </w:p>
        </w:tc>
        <w:tc>
          <w:tcPr>
            <w:tcW w:w="3150" w:type="dxa"/>
            <w:tcBorders>
              <w:tl2br w:val="nil"/>
              <w:tr2bl w:val="nil"/>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职工监事</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0" w:hRule="atLeast"/>
          <w:jc w:val="center"/>
        </w:trPr>
        <w:tc>
          <w:tcPr>
            <w:tcW w:w="2271" w:type="dxa"/>
            <w:vMerge w:val="restart"/>
            <w:tcBorders>
              <w:tl2br w:val="nil"/>
              <w:tr2bl w:val="nil"/>
            </w:tcBorders>
            <w:shd w:val="clear" w:color="auto" w:fill="auto"/>
            <w:tcMar>
              <w:top w:w="15" w:type="dxa"/>
              <w:left w:w="15" w:type="dxa"/>
              <w:right w:w="15" w:type="dxa"/>
            </w:tcMar>
            <w:vAlign w:val="center"/>
          </w:tcPr>
          <w:p>
            <w:pPr>
              <w:widowControl/>
              <w:jc w:val="center"/>
              <w:textAlignment w:val="center"/>
              <w:rPr>
                <w:rFonts w:ascii="仿宋" w:hAnsi="仿宋" w:eastAsia="仿宋" w:cs="仿宋"/>
                <w:b/>
                <w:color w:val="000000"/>
                <w:sz w:val="28"/>
                <w:szCs w:val="28"/>
              </w:rPr>
            </w:pPr>
            <w:r>
              <w:rPr>
                <w:rFonts w:hint="eastAsia" w:ascii="仿宋" w:hAnsi="仿宋" w:eastAsia="仿宋" w:cs="仿宋"/>
                <w:b/>
                <w:color w:val="000000"/>
                <w:kern w:val="0"/>
                <w:sz w:val="28"/>
                <w:szCs w:val="28"/>
              </w:rPr>
              <w:t>经理层组成</w:t>
            </w:r>
          </w:p>
        </w:tc>
        <w:tc>
          <w:tcPr>
            <w:tcW w:w="2715" w:type="dxa"/>
            <w:tcBorders>
              <w:tl2br w:val="nil"/>
              <w:tr2bl w:val="nil"/>
            </w:tcBorders>
            <w:shd w:val="clear" w:color="auto" w:fill="auto"/>
            <w:tcMar>
              <w:top w:w="15" w:type="dxa"/>
              <w:left w:w="15" w:type="dxa"/>
              <w:right w:w="15" w:type="dxa"/>
            </w:tcMar>
            <w:vAlign w:val="center"/>
          </w:tcPr>
          <w:p>
            <w:pPr>
              <w:widowControl/>
              <w:jc w:val="center"/>
              <w:textAlignment w:val="center"/>
              <w:rPr>
                <w:rFonts w:ascii="仿宋" w:hAnsi="仿宋" w:eastAsia="仿宋" w:cs="仿宋"/>
                <w:b/>
                <w:color w:val="000000"/>
                <w:sz w:val="28"/>
                <w:szCs w:val="28"/>
              </w:rPr>
            </w:pPr>
            <w:r>
              <w:rPr>
                <w:rFonts w:hint="eastAsia" w:ascii="仿宋" w:hAnsi="仿宋" w:eastAsia="仿宋" w:cs="仿宋"/>
                <w:b/>
                <w:color w:val="000000"/>
                <w:kern w:val="0"/>
                <w:sz w:val="28"/>
                <w:szCs w:val="28"/>
              </w:rPr>
              <w:t>姓名</w:t>
            </w:r>
          </w:p>
        </w:tc>
        <w:tc>
          <w:tcPr>
            <w:tcW w:w="3150" w:type="dxa"/>
            <w:tcBorders>
              <w:tl2br w:val="nil"/>
              <w:tr2bl w:val="nil"/>
            </w:tcBorders>
            <w:shd w:val="clear" w:color="auto" w:fill="auto"/>
            <w:tcMar>
              <w:top w:w="15" w:type="dxa"/>
              <w:left w:w="15" w:type="dxa"/>
              <w:right w:w="15" w:type="dxa"/>
            </w:tcMar>
            <w:vAlign w:val="center"/>
          </w:tcPr>
          <w:p>
            <w:pPr>
              <w:widowControl/>
              <w:jc w:val="center"/>
              <w:textAlignment w:val="center"/>
              <w:rPr>
                <w:rFonts w:ascii="仿宋" w:hAnsi="仿宋" w:eastAsia="仿宋" w:cs="仿宋"/>
                <w:b/>
                <w:color w:val="000000"/>
                <w:sz w:val="28"/>
                <w:szCs w:val="28"/>
              </w:rPr>
            </w:pPr>
            <w:r>
              <w:rPr>
                <w:rFonts w:hint="eastAsia" w:ascii="仿宋" w:hAnsi="仿宋" w:eastAsia="仿宋" w:cs="仿宋"/>
                <w:b/>
                <w:color w:val="000000"/>
                <w:kern w:val="0"/>
                <w:sz w:val="28"/>
                <w:szCs w:val="28"/>
              </w:rPr>
              <w:t>职务</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0" w:hRule="atLeast"/>
          <w:jc w:val="center"/>
        </w:trPr>
        <w:tc>
          <w:tcPr>
            <w:tcW w:w="2271" w:type="dxa"/>
            <w:vMerge w:val="continue"/>
            <w:tcBorders>
              <w:tl2br w:val="nil"/>
              <w:tr2bl w:val="nil"/>
            </w:tcBorders>
            <w:shd w:val="clear" w:color="auto" w:fill="auto"/>
            <w:tcMar>
              <w:top w:w="15" w:type="dxa"/>
              <w:left w:w="15" w:type="dxa"/>
              <w:right w:w="15" w:type="dxa"/>
            </w:tcMar>
            <w:vAlign w:val="center"/>
          </w:tcPr>
          <w:p>
            <w:pPr>
              <w:jc w:val="center"/>
              <w:rPr>
                <w:rFonts w:ascii="仿宋" w:hAnsi="仿宋" w:eastAsia="仿宋" w:cs="仿宋"/>
                <w:b/>
                <w:color w:val="000000"/>
                <w:sz w:val="28"/>
                <w:szCs w:val="28"/>
              </w:rPr>
            </w:pPr>
          </w:p>
        </w:tc>
        <w:tc>
          <w:tcPr>
            <w:tcW w:w="2715" w:type="dxa"/>
            <w:tcBorders>
              <w:tl2br w:val="nil"/>
              <w:tr2bl w:val="nil"/>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王炎义</w:t>
            </w:r>
          </w:p>
        </w:tc>
        <w:tc>
          <w:tcPr>
            <w:tcW w:w="3150" w:type="dxa"/>
            <w:tcBorders>
              <w:tl2br w:val="nil"/>
              <w:tr2bl w:val="nil"/>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总经理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0" w:hRule="atLeast"/>
          <w:jc w:val="center"/>
        </w:trPr>
        <w:tc>
          <w:tcPr>
            <w:tcW w:w="2271" w:type="dxa"/>
            <w:vMerge w:val="continue"/>
            <w:tcBorders>
              <w:tl2br w:val="nil"/>
              <w:tr2bl w:val="nil"/>
            </w:tcBorders>
            <w:shd w:val="clear" w:color="auto" w:fill="auto"/>
            <w:tcMar>
              <w:top w:w="15" w:type="dxa"/>
              <w:left w:w="15" w:type="dxa"/>
              <w:right w:w="15" w:type="dxa"/>
            </w:tcMar>
            <w:vAlign w:val="center"/>
          </w:tcPr>
          <w:p>
            <w:pPr>
              <w:jc w:val="center"/>
              <w:rPr>
                <w:rFonts w:ascii="仿宋" w:hAnsi="仿宋" w:eastAsia="仿宋" w:cs="仿宋"/>
                <w:b/>
                <w:color w:val="000000"/>
                <w:sz w:val="28"/>
                <w:szCs w:val="28"/>
              </w:rPr>
            </w:pPr>
          </w:p>
        </w:tc>
        <w:tc>
          <w:tcPr>
            <w:tcW w:w="2715" w:type="dxa"/>
            <w:tcBorders>
              <w:tl2br w:val="nil"/>
              <w:tr2bl w:val="nil"/>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sz w:val="28"/>
                <w:szCs w:val="28"/>
              </w:rPr>
              <w:t>于世玮</w:t>
            </w:r>
          </w:p>
        </w:tc>
        <w:tc>
          <w:tcPr>
            <w:tcW w:w="3150" w:type="dxa"/>
            <w:tcBorders>
              <w:tl2br w:val="nil"/>
              <w:tr2bl w:val="nil"/>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sz w:val="28"/>
                <w:szCs w:val="28"/>
              </w:rPr>
              <w:t>副总经理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0" w:hRule="atLeast"/>
          <w:jc w:val="center"/>
        </w:trPr>
        <w:tc>
          <w:tcPr>
            <w:tcW w:w="2271" w:type="dxa"/>
            <w:vMerge w:val="continue"/>
            <w:tcBorders>
              <w:tl2br w:val="nil"/>
              <w:tr2bl w:val="nil"/>
            </w:tcBorders>
            <w:shd w:val="clear" w:color="auto" w:fill="auto"/>
            <w:tcMar>
              <w:top w:w="15" w:type="dxa"/>
              <w:left w:w="15" w:type="dxa"/>
              <w:right w:w="15" w:type="dxa"/>
            </w:tcMar>
            <w:vAlign w:val="center"/>
          </w:tcPr>
          <w:p>
            <w:pPr>
              <w:jc w:val="center"/>
              <w:rPr>
                <w:rFonts w:ascii="仿宋" w:hAnsi="仿宋" w:eastAsia="仿宋" w:cs="仿宋"/>
                <w:b/>
                <w:color w:val="000000"/>
                <w:sz w:val="28"/>
                <w:szCs w:val="28"/>
              </w:rPr>
            </w:pPr>
          </w:p>
        </w:tc>
        <w:tc>
          <w:tcPr>
            <w:tcW w:w="2715" w:type="dxa"/>
            <w:tcBorders>
              <w:tl2br w:val="nil"/>
              <w:tr2bl w:val="nil"/>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8"/>
                <w:szCs w:val="28"/>
              </w:rPr>
            </w:pPr>
            <w:r>
              <w:rPr>
                <w:rFonts w:ascii="仿宋" w:hAnsi="仿宋" w:eastAsia="仿宋" w:cs="仿宋"/>
                <w:color w:val="000000"/>
                <w:sz w:val="28"/>
                <w:szCs w:val="28"/>
              </w:rPr>
              <w:t>沈兆静</w:t>
            </w:r>
          </w:p>
        </w:tc>
        <w:tc>
          <w:tcPr>
            <w:tcW w:w="3150" w:type="dxa"/>
            <w:tcBorders>
              <w:tl2br w:val="nil"/>
              <w:tr2bl w:val="nil"/>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8"/>
                <w:szCs w:val="28"/>
              </w:rPr>
            </w:pPr>
            <w:r>
              <w:rPr>
                <w:rFonts w:ascii="仿宋" w:hAnsi="仿宋" w:eastAsia="仿宋" w:cs="仿宋"/>
                <w:color w:val="000000"/>
                <w:sz w:val="28"/>
                <w:szCs w:val="28"/>
              </w:rPr>
              <w:t>副总经理</w:t>
            </w:r>
          </w:p>
        </w:tc>
      </w:tr>
    </w:tbl>
    <w:p>
      <w:pPr>
        <w:autoSpaceDE w:val="0"/>
        <w:autoSpaceDN w:val="0"/>
        <w:adjustRightInd w:val="0"/>
        <w:snapToGrid w:val="0"/>
        <w:spacing w:line="600" w:lineRule="exact"/>
        <w:ind w:right="13" w:rightChars="6" w:firstLine="640" w:firstLineChars="200"/>
        <w:rPr>
          <w:rFonts w:ascii="黑体" w:hAnsi="黑体" w:eastAsia="黑体" w:cs="黑体"/>
          <w:color w:val="000000"/>
          <w:kern w:val="0"/>
          <w:sz w:val="32"/>
          <w:szCs w:val="32"/>
        </w:rPr>
      </w:pPr>
    </w:p>
    <w:p>
      <w:pPr>
        <w:spacing w:line="580" w:lineRule="exact"/>
        <w:ind w:firstLine="640" w:firstLineChars="200"/>
        <w:rPr>
          <w:rFonts w:ascii="黑体" w:hAnsi="黑体" w:eastAsia="黑体" w:cs="黑体"/>
          <w:sz w:val="32"/>
          <w:szCs w:val="32"/>
        </w:rPr>
      </w:pPr>
      <w:r>
        <w:rPr>
          <w:rFonts w:hint="eastAsia" w:ascii="黑体" w:hAnsi="黑体" w:eastAsia="黑体" w:cs="黑体"/>
          <w:color w:val="000000"/>
          <w:kern w:val="0"/>
          <w:sz w:val="32"/>
          <w:szCs w:val="32"/>
        </w:rPr>
        <w:t>二、主要会计数据和财务指标情况</w:t>
      </w:r>
    </w:p>
    <w:tbl>
      <w:tblPr>
        <w:tblStyle w:val="4"/>
        <w:tblW w:w="7418" w:type="dxa"/>
        <w:tblInd w:w="108" w:type="dxa"/>
        <w:tblLayout w:type="fixed"/>
        <w:tblCellMar>
          <w:top w:w="0" w:type="dxa"/>
          <w:left w:w="108" w:type="dxa"/>
          <w:bottom w:w="0" w:type="dxa"/>
          <w:right w:w="108" w:type="dxa"/>
        </w:tblCellMar>
      </w:tblPr>
      <w:tblGrid>
        <w:gridCol w:w="3158"/>
        <w:gridCol w:w="4260"/>
      </w:tblGrid>
      <w:tr>
        <w:tblPrEx>
          <w:tblCellMar>
            <w:top w:w="0" w:type="dxa"/>
            <w:left w:w="108" w:type="dxa"/>
            <w:bottom w:w="0" w:type="dxa"/>
            <w:right w:w="108" w:type="dxa"/>
          </w:tblCellMar>
        </w:tblPrEx>
        <w:trPr>
          <w:trHeight w:val="600" w:hRule="atLeast"/>
        </w:trPr>
        <w:tc>
          <w:tcPr>
            <w:tcW w:w="3158"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仿宋_GB2312" w:hAnsi="等线" w:eastAsia="仿宋_GB2312" w:cs="宋体"/>
                <w:b/>
                <w:bCs/>
                <w:color w:val="000000"/>
                <w:kern w:val="0"/>
                <w:szCs w:val="21"/>
              </w:rPr>
            </w:pPr>
            <w:r>
              <w:rPr>
                <w:rFonts w:hint="eastAsia" w:ascii="仿宋_GB2312" w:hAnsi="等线" w:eastAsia="仿宋_GB2312" w:cs="宋体"/>
                <w:b/>
                <w:bCs/>
                <w:color w:val="000000"/>
                <w:kern w:val="0"/>
                <w:szCs w:val="21"/>
              </w:rPr>
              <w:t>项目</w:t>
            </w:r>
          </w:p>
        </w:tc>
        <w:tc>
          <w:tcPr>
            <w:tcW w:w="4260"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仿宋_GB2312" w:hAnsi="等线" w:eastAsia="仿宋_GB2312" w:cs="宋体"/>
                <w:b/>
                <w:bCs/>
                <w:color w:val="000000"/>
                <w:kern w:val="0"/>
                <w:szCs w:val="21"/>
              </w:rPr>
            </w:pPr>
            <w:r>
              <w:rPr>
                <w:rFonts w:hint="eastAsia" w:ascii="仿宋_GB2312" w:hAnsi="等线" w:eastAsia="仿宋_GB2312" w:cs="宋体"/>
                <w:b/>
                <w:bCs/>
                <w:color w:val="000000"/>
                <w:kern w:val="0"/>
                <w:szCs w:val="21"/>
              </w:rPr>
              <w:t>202</w:t>
            </w:r>
            <w:r>
              <w:rPr>
                <w:rFonts w:hint="eastAsia" w:ascii="仿宋_GB2312" w:hAnsi="等线" w:eastAsia="仿宋_GB2312" w:cs="宋体"/>
                <w:b/>
                <w:bCs/>
                <w:color w:val="000000"/>
                <w:kern w:val="0"/>
                <w:szCs w:val="21"/>
                <w:lang w:val="en-US" w:eastAsia="zh-CN"/>
              </w:rPr>
              <w:t>3</w:t>
            </w:r>
            <w:r>
              <w:rPr>
                <w:rFonts w:hint="eastAsia" w:ascii="仿宋_GB2312" w:hAnsi="等线" w:eastAsia="仿宋_GB2312" w:cs="宋体"/>
                <w:b/>
                <w:bCs/>
                <w:color w:val="000000"/>
                <w:kern w:val="0"/>
                <w:szCs w:val="21"/>
              </w:rPr>
              <w:t>年度情况</w:t>
            </w:r>
          </w:p>
        </w:tc>
      </w:tr>
      <w:tr>
        <w:tblPrEx>
          <w:tblCellMar>
            <w:top w:w="0" w:type="dxa"/>
            <w:left w:w="108" w:type="dxa"/>
            <w:bottom w:w="0" w:type="dxa"/>
            <w:right w:w="108" w:type="dxa"/>
          </w:tblCellMar>
        </w:tblPrEx>
        <w:trPr>
          <w:trHeight w:val="600" w:hRule="atLeast"/>
        </w:trPr>
        <w:tc>
          <w:tcPr>
            <w:tcW w:w="3158"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 xml:space="preserve">营业收入 </w:t>
            </w:r>
          </w:p>
        </w:tc>
        <w:tc>
          <w:tcPr>
            <w:tcW w:w="426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ascii="仿宋_GB2312" w:hAnsi="等线" w:eastAsia="仿宋_GB2312" w:cs="宋体"/>
                <w:color w:val="000000"/>
                <w:kern w:val="0"/>
                <w:szCs w:val="21"/>
              </w:rPr>
            </w:pPr>
            <w:r>
              <w:rPr>
                <w:rFonts w:hint="default" w:ascii="等线" w:hAnsi="等线" w:eastAsia="等线" w:cs="等线"/>
                <w:i w:val="0"/>
                <w:iCs w:val="0"/>
                <w:color w:val="000000"/>
                <w:kern w:val="0"/>
                <w:sz w:val="24"/>
                <w:szCs w:val="24"/>
                <w:u w:val="none"/>
                <w:lang w:val="en-US" w:eastAsia="zh-CN" w:bidi="ar"/>
              </w:rPr>
              <w:t>24,029.00</w:t>
            </w:r>
          </w:p>
        </w:tc>
      </w:tr>
      <w:tr>
        <w:tblPrEx>
          <w:tblCellMar>
            <w:top w:w="0" w:type="dxa"/>
            <w:left w:w="108" w:type="dxa"/>
            <w:bottom w:w="0" w:type="dxa"/>
            <w:right w:w="108" w:type="dxa"/>
          </w:tblCellMar>
        </w:tblPrEx>
        <w:trPr>
          <w:trHeight w:val="600" w:hRule="atLeast"/>
        </w:trPr>
        <w:tc>
          <w:tcPr>
            <w:tcW w:w="3158"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营业成本</w:t>
            </w:r>
          </w:p>
        </w:tc>
        <w:tc>
          <w:tcPr>
            <w:tcW w:w="426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ascii="仿宋_GB2312" w:hAnsi="等线" w:eastAsia="仿宋_GB2312" w:cs="宋体"/>
                <w:color w:val="000000"/>
                <w:kern w:val="0"/>
                <w:szCs w:val="21"/>
              </w:rPr>
            </w:pPr>
            <w:r>
              <w:rPr>
                <w:rFonts w:hint="default" w:ascii="等线" w:hAnsi="等线" w:eastAsia="等线" w:cs="等线"/>
                <w:i w:val="0"/>
                <w:iCs w:val="0"/>
                <w:color w:val="000000"/>
                <w:kern w:val="0"/>
                <w:sz w:val="24"/>
                <w:szCs w:val="24"/>
                <w:u w:val="none"/>
                <w:lang w:val="en-US" w:eastAsia="zh-CN" w:bidi="ar"/>
              </w:rPr>
              <w:t>19,925.00</w:t>
            </w:r>
          </w:p>
        </w:tc>
      </w:tr>
      <w:tr>
        <w:tblPrEx>
          <w:tblCellMar>
            <w:top w:w="0" w:type="dxa"/>
            <w:left w:w="108" w:type="dxa"/>
            <w:bottom w:w="0" w:type="dxa"/>
            <w:right w:w="108" w:type="dxa"/>
          </w:tblCellMar>
        </w:tblPrEx>
        <w:trPr>
          <w:trHeight w:val="600" w:hRule="atLeast"/>
        </w:trPr>
        <w:tc>
          <w:tcPr>
            <w:tcW w:w="3158"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管理费用</w:t>
            </w:r>
          </w:p>
        </w:tc>
        <w:tc>
          <w:tcPr>
            <w:tcW w:w="426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ascii="仿宋_GB2312" w:hAnsi="等线" w:eastAsia="仿宋_GB2312" w:cs="宋体"/>
                <w:color w:val="000000"/>
                <w:kern w:val="0"/>
                <w:sz w:val="21"/>
                <w:szCs w:val="21"/>
                <w:lang w:val="en-US" w:eastAsia="zh-CN" w:bidi="ar-SA"/>
              </w:rPr>
            </w:pPr>
            <w:r>
              <w:rPr>
                <w:rFonts w:hint="default" w:ascii="等线" w:hAnsi="等线" w:eastAsia="等线" w:cs="等线"/>
                <w:i w:val="0"/>
                <w:iCs w:val="0"/>
                <w:color w:val="000000"/>
                <w:kern w:val="0"/>
                <w:sz w:val="24"/>
                <w:szCs w:val="24"/>
                <w:u w:val="none"/>
                <w:lang w:val="en-US" w:eastAsia="zh-CN" w:bidi="ar"/>
              </w:rPr>
              <w:t>387.00</w:t>
            </w:r>
          </w:p>
        </w:tc>
      </w:tr>
      <w:tr>
        <w:tblPrEx>
          <w:tblCellMar>
            <w:top w:w="0" w:type="dxa"/>
            <w:left w:w="108" w:type="dxa"/>
            <w:bottom w:w="0" w:type="dxa"/>
            <w:right w:w="108" w:type="dxa"/>
          </w:tblCellMar>
        </w:tblPrEx>
        <w:trPr>
          <w:trHeight w:val="600" w:hRule="atLeast"/>
        </w:trPr>
        <w:tc>
          <w:tcPr>
            <w:tcW w:w="3158"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财务费用</w:t>
            </w:r>
          </w:p>
        </w:tc>
        <w:tc>
          <w:tcPr>
            <w:tcW w:w="426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ascii="仿宋_GB2312" w:hAnsi="等线" w:eastAsia="仿宋_GB2312" w:cs="宋体"/>
                <w:color w:val="000000"/>
                <w:kern w:val="0"/>
                <w:sz w:val="21"/>
                <w:szCs w:val="21"/>
                <w:lang w:val="en-US" w:eastAsia="zh-CN" w:bidi="ar-SA"/>
              </w:rPr>
            </w:pPr>
            <w:r>
              <w:rPr>
                <w:rFonts w:hint="default" w:ascii="等线" w:hAnsi="等线" w:eastAsia="等线" w:cs="等线"/>
                <w:i w:val="0"/>
                <w:iCs w:val="0"/>
                <w:color w:val="000000"/>
                <w:kern w:val="0"/>
                <w:sz w:val="24"/>
                <w:szCs w:val="24"/>
                <w:u w:val="none"/>
                <w:lang w:val="en-US" w:eastAsia="zh-CN" w:bidi="ar"/>
              </w:rPr>
              <w:t>8,005.00</w:t>
            </w:r>
          </w:p>
        </w:tc>
      </w:tr>
      <w:tr>
        <w:tblPrEx>
          <w:tblCellMar>
            <w:top w:w="0" w:type="dxa"/>
            <w:left w:w="108" w:type="dxa"/>
            <w:bottom w:w="0" w:type="dxa"/>
            <w:right w:w="108" w:type="dxa"/>
          </w:tblCellMar>
        </w:tblPrEx>
        <w:trPr>
          <w:trHeight w:val="600" w:hRule="atLeast"/>
        </w:trPr>
        <w:tc>
          <w:tcPr>
            <w:tcW w:w="3158"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营业利润</w:t>
            </w:r>
          </w:p>
        </w:tc>
        <w:tc>
          <w:tcPr>
            <w:tcW w:w="426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ascii="仿宋_GB2312" w:hAnsi="等线" w:eastAsia="仿宋_GB2312" w:cs="宋体"/>
                <w:color w:val="000000"/>
                <w:kern w:val="0"/>
                <w:sz w:val="21"/>
                <w:szCs w:val="21"/>
                <w:lang w:val="en-US" w:eastAsia="zh-CN" w:bidi="ar-SA"/>
              </w:rPr>
            </w:pPr>
            <w:r>
              <w:rPr>
                <w:rFonts w:hint="default" w:ascii="等线" w:hAnsi="等线" w:eastAsia="等线" w:cs="等线"/>
                <w:i w:val="0"/>
                <w:iCs w:val="0"/>
                <w:color w:val="000000"/>
                <w:kern w:val="0"/>
                <w:sz w:val="24"/>
                <w:szCs w:val="24"/>
                <w:u w:val="none"/>
                <w:lang w:val="en-US" w:eastAsia="zh-CN" w:bidi="ar"/>
              </w:rPr>
              <w:t>-3,889.00</w:t>
            </w:r>
          </w:p>
        </w:tc>
      </w:tr>
      <w:tr>
        <w:tblPrEx>
          <w:tblCellMar>
            <w:top w:w="0" w:type="dxa"/>
            <w:left w:w="108" w:type="dxa"/>
            <w:bottom w:w="0" w:type="dxa"/>
            <w:right w:w="108" w:type="dxa"/>
          </w:tblCellMar>
        </w:tblPrEx>
        <w:trPr>
          <w:trHeight w:val="600" w:hRule="atLeast"/>
        </w:trPr>
        <w:tc>
          <w:tcPr>
            <w:tcW w:w="3158"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利润总额</w:t>
            </w:r>
          </w:p>
        </w:tc>
        <w:tc>
          <w:tcPr>
            <w:tcW w:w="426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ascii="仿宋_GB2312" w:hAnsi="等线" w:eastAsia="仿宋_GB2312" w:cs="宋体"/>
                <w:color w:val="000000"/>
                <w:kern w:val="0"/>
                <w:sz w:val="21"/>
                <w:szCs w:val="21"/>
                <w:lang w:val="en-US" w:eastAsia="zh-CN" w:bidi="ar-SA"/>
              </w:rPr>
            </w:pPr>
            <w:r>
              <w:rPr>
                <w:rFonts w:hint="default" w:ascii="等线" w:hAnsi="等线" w:eastAsia="等线" w:cs="等线"/>
                <w:i w:val="0"/>
                <w:iCs w:val="0"/>
                <w:color w:val="000000"/>
                <w:kern w:val="0"/>
                <w:sz w:val="24"/>
                <w:szCs w:val="24"/>
                <w:u w:val="none"/>
                <w:lang w:val="en-US" w:eastAsia="zh-CN" w:bidi="ar"/>
              </w:rPr>
              <w:t>-3,889.00</w:t>
            </w:r>
          </w:p>
        </w:tc>
      </w:tr>
      <w:tr>
        <w:tblPrEx>
          <w:tblCellMar>
            <w:top w:w="0" w:type="dxa"/>
            <w:left w:w="108" w:type="dxa"/>
            <w:bottom w:w="0" w:type="dxa"/>
            <w:right w:w="108" w:type="dxa"/>
          </w:tblCellMar>
        </w:tblPrEx>
        <w:trPr>
          <w:trHeight w:val="600" w:hRule="atLeast"/>
        </w:trPr>
        <w:tc>
          <w:tcPr>
            <w:tcW w:w="3158"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净利润</w:t>
            </w:r>
          </w:p>
        </w:tc>
        <w:tc>
          <w:tcPr>
            <w:tcW w:w="426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ascii="仿宋_GB2312" w:hAnsi="等线" w:eastAsia="仿宋_GB2312" w:cs="宋体"/>
                <w:color w:val="000000"/>
                <w:kern w:val="0"/>
                <w:sz w:val="21"/>
                <w:szCs w:val="21"/>
                <w:lang w:val="en-US" w:eastAsia="zh-CN" w:bidi="ar-SA"/>
              </w:rPr>
            </w:pPr>
            <w:r>
              <w:rPr>
                <w:rFonts w:hint="default" w:ascii="等线" w:hAnsi="等线" w:eastAsia="等线" w:cs="等线"/>
                <w:i w:val="0"/>
                <w:iCs w:val="0"/>
                <w:color w:val="000000"/>
                <w:kern w:val="0"/>
                <w:sz w:val="24"/>
                <w:szCs w:val="24"/>
                <w:u w:val="none"/>
                <w:lang w:val="en-US" w:eastAsia="zh-CN" w:bidi="ar"/>
              </w:rPr>
              <w:t>-3,889.00</w:t>
            </w:r>
          </w:p>
        </w:tc>
      </w:tr>
      <w:tr>
        <w:tblPrEx>
          <w:tblCellMar>
            <w:top w:w="0" w:type="dxa"/>
            <w:left w:w="108" w:type="dxa"/>
            <w:bottom w:w="0" w:type="dxa"/>
            <w:right w:w="108" w:type="dxa"/>
          </w:tblCellMar>
        </w:tblPrEx>
        <w:trPr>
          <w:trHeight w:val="600" w:hRule="atLeast"/>
        </w:trPr>
        <w:tc>
          <w:tcPr>
            <w:tcW w:w="3158"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营业利润率</w:t>
            </w:r>
          </w:p>
        </w:tc>
        <w:tc>
          <w:tcPr>
            <w:tcW w:w="426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ascii="仿宋_GB2312" w:hAnsi="等线" w:eastAsia="仿宋_GB2312" w:cs="宋体"/>
                <w:color w:val="000000"/>
                <w:kern w:val="0"/>
                <w:szCs w:val="21"/>
              </w:rPr>
            </w:pPr>
            <w:r>
              <w:rPr>
                <w:rFonts w:hint="default" w:ascii="等线" w:hAnsi="等线" w:eastAsia="等线" w:cs="等线"/>
                <w:i w:val="0"/>
                <w:iCs w:val="0"/>
                <w:color w:val="000000"/>
                <w:kern w:val="0"/>
                <w:sz w:val="24"/>
                <w:szCs w:val="24"/>
                <w:u w:val="none"/>
                <w:lang w:val="en-US" w:eastAsia="zh-CN" w:bidi="ar"/>
              </w:rPr>
              <w:t>-16.18%</w:t>
            </w:r>
          </w:p>
        </w:tc>
      </w:tr>
      <w:tr>
        <w:tblPrEx>
          <w:tblCellMar>
            <w:top w:w="0" w:type="dxa"/>
            <w:left w:w="108" w:type="dxa"/>
            <w:bottom w:w="0" w:type="dxa"/>
            <w:right w:w="108" w:type="dxa"/>
          </w:tblCellMar>
        </w:tblPrEx>
        <w:trPr>
          <w:trHeight w:val="600" w:hRule="atLeast"/>
        </w:trPr>
        <w:tc>
          <w:tcPr>
            <w:tcW w:w="3158"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净资产收益率</w:t>
            </w:r>
          </w:p>
        </w:tc>
        <w:tc>
          <w:tcPr>
            <w:tcW w:w="426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ascii="仿宋_GB2312" w:hAnsi="等线" w:eastAsia="仿宋_GB2312" w:cs="宋体"/>
                <w:color w:val="000000"/>
                <w:kern w:val="0"/>
                <w:szCs w:val="21"/>
              </w:rPr>
            </w:pPr>
            <w:r>
              <w:rPr>
                <w:rFonts w:hint="default" w:ascii="等线" w:hAnsi="等线" w:eastAsia="等线" w:cs="等线"/>
                <w:i w:val="0"/>
                <w:iCs w:val="0"/>
                <w:color w:val="000000"/>
                <w:kern w:val="0"/>
                <w:sz w:val="24"/>
                <w:szCs w:val="24"/>
                <w:u w:val="none"/>
                <w:lang w:val="en-US" w:eastAsia="zh-CN" w:bidi="ar"/>
              </w:rPr>
              <w:t>-16.41%</w:t>
            </w:r>
          </w:p>
        </w:tc>
      </w:tr>
      <w:tr>
        <w:tblPrEx>
          <w:tblCellMar>
            <w:top w:w="0" w:type="dxa"/>
            <w:left w:w="108" w:type="dxa"/>
            <w:bottom w:w="0" w:type="dxa"/>
            <w:right w:w="108" w:type="dxa"/>
          </w:tblCellMar>
        </w:tblPrEx>
        <w:trPr>
          <w:trHeight w:val="600" w:hRule="atLeast"/>
        </w:trPr>
        <w:tc>
          <w:tcPr>
            <w:tcW w:w="3158"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已交税费总额</w:t>
            </w:r>
          </w:p>
        </w:tc>
        <w:tc>
          <w:tcPr>
            <w:tcW w:w="426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ascii="等线" w:hAnsi="等线" w:eastAsia="等线" w:cs="等线"/>
                <w:i w:val="0"/>
                <w:iCs w:val="0"/>
                <w:color w:val="000000"/>
                <w:kern w:val="2"/>
                <w:sz w:val="24"/>
                <w:szCs w:val="24"/>
                <w:u w:val="none"/>
                <w:lang w:val="en-US" w:eastAsia="zh-CN" w:bidi="ar-SA"/>
              </w:rPr>
            </w:pPr>
            <w:r>
              <w:rPr>
                <w:rFonts w:hint="default" w:ascii="等线" w:hAnsi="等线" w:eastAsia="等线" w:cs="等线"/>
                <w:i w:val="0"/>
                <w:iCs w:val="0"/>
                <w:color w:val="000000"/>
                <w:kern w:val="0"/>
                <w:sz w:val="24"/>
                <w:szCs w:val="24"/>
                <w:u w:val="none"/>
                <w:lang w:val="en-US" w:eastAsia="zh-CN" w:bidi="ar"/>
              </w:rPr>
              <w:t>846.00</w:t>
            </w:r>
          </w:p>
        </w:tc>
      </w:tr>
      <w:tr>
        <w:tblPrEx>
          <w:tblCellMar>
            <w:top w:w="0" w:type="dxa"/>
            <w:left w:w="108" w:type="dxa"/>
            <w:bottom w:w="0" w:type="dxa"/>
            <w:right w:w="108" w:type="dxa"/>
          </w:tblCellMar>
        </w:tblPrEx>
        <w:trPr>
          <w:trHeight w:val="600" w:hRule="atLeast"/>
        </w:trPr>
        <w:tc>
          <w:tcPr>
            <w:tcW w:w="3158" w:type="dxa"/>
            <w:tcBorders>
              <w:top w:val="nil"/>
              <w:left w:val="nil"/>
              <w:bottom w:val="nil"/>
              <w:right w:val="nil"/>
            </w:tcBorders>
            <w:shd w:val="clear" w:color="auto" w:fill="auto"/>
            <w:noWrap/>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 xml:space="preserve"> </w:t>
            </w:r>
          </w:p>
        </w:tc>
        <w:tc>
          <w:tcPr>
            <w:tcW w:w="4260" w:type="dxa"/>
            <w:tcBorders>
              <w:top w:val="nil"/>
              <w:left w:val="nil"/>
              <w:bottom w:val="nil"/>
              <w:right w:val="nil"/>
            </w:tcBorders>
            <w:shd w:val="clear" w:color="auto" w:fill="auto"/>
            <w:noWrap/>
            <w:vAlign w:val="center"/>
          </w:tcPr>
          <w:p>
            <w:pPr>
              <w:widowControl/>
              <w:jc w:val="center"/>
              <w:rPr>
                <w:rFonts w:ascii="仿宋_GB2312" w:hAnsi="等线" w:eastAsia="仿宋_GB2312" w:cs="宋体"/>
                <w:color w:val="000000"/>
                <w:kern w:val="0"/>
                <w:szCs w:val="21"/>
              </w:rPr>
            </w:pPr>
          </w:p>
        </w:tc>
      </w:tr>
      <w:tr>
        <w:tblPrEx>
          <w:tblCellMar>
            <w:top w:w="0" w:type="dxa"/>
            <w:left w:w="108" w:type="dxa"/>
            <w:bottom w:w="0" w:type="dxa"/>
            <w:right w:w="108" w:type="dxa"/>
          </w:tblCellMar>
        </w:tblPrEx>
        <w:trPr>
          <w:trHeight w:val="600" w:hRule="atLeast"/>
        </w:trPr>
        <w:tc>
          <w:tcPr>
            <w:tcW w:w="3158"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仿宋_GB2312" w:hAnsi="等线" w:eastAsia="仿宋_GB2312" w:cs="宋体"/>
                <w:b/>
                <w:bCs/>
                <w:color w:val="000000"/>
                <w:kern w:val="0"/>
                <w:szCs w:val="21"/>
              </w:rPr>
            </w:pPr>
            <w:r>
              <w:rPr>
                <w:rFonts w:hint="eastAsia" w:ascii="仿宋_GB2312" w:hAnsi="等线" w:eastAsia="仿宋_GB2312" w:cs="宋体"/>
                <w:b/>
                <w:bCs/>
                <w:color w:val="000000"/>
                <w:kern w:val="0"/>
                <w:szCs w:val="21"/>
              </w:rPr>
              <w:t>项目</w:t>
            </w:r>
          </w:p>
        </w:tc>
        <w:tc>
          <w:tcPr>
            <w:tcW w:w="4260"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仿宋_GB2312" w:hAnsi="等线" w:eastAsia="仿宋_GB2312" w:cs="宋体"/>
                <w:b/>
                <w:bCs/>
                <w:color w:val="000000"/>
                <w:kern w:val="0"/>
                <w:szCs w:val="21"/>
              </w:rPr>
            </w:pPr>
            <w:r>
              <w:rPr>
                <w:rFonts w:hint="eastAsia" w:ascii="仿宋_GB2312" w:hAnsi="等线" w:eastAsia="仿宋_GB2312" w:cs="宋体"/>
                <w:b/>
                <w:bCs/>
                <w:color w:val="000000"/>
                <w:kern w:val="0"/>
                <w:szCs w:val="21"/>
              </w:rPr>
              <w:t>期末余额</w:t>
            </w:r>
          </w:p>
        </w:tc>
      </w:tr>
      <w:tr>
        <w:tblPrEx>
          <w:tblCellMar>
            <w:top w:w="0" w:type="dxa"/>
            <w:left w:w="108" w:type="dxa"/>
            <w:bottom w:w="0" w:type="dxa"/>
            <w:right w:w="108" w:type="dxa"/>
          </w:tblCellMar>
        </w:tblPrEx>
        <w:trPr>
          <w:trHeight w:val="600" w:hRule="atLeast"/>
        </w:trPr>
        <w:tc>
          <w:tcPr>
            <w:tcW w:w="3158"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资产总额</w:t>
            </w:r>
          </w:p>
        </w:tc>
        <w:tc>
          <w:tcPr>
            <w:tcW w:w="426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ascii="仿宋_GB2312" w:hAnsi="等线" w:eastAsia="仿宋_GB2312" w:cs="宋体"/>
                <w:color w:val="000000"/>
                <w:kern w:val="0"/>
                <w:szCs w:val="21"/>
              </w:rPr>
            </w:pPr>
            <w:r>
              <w:rPr>
                <w:rFonts w:hint="default" w:ascii="等线" w:hAnsi="等线" w:eastAsia="等线" w:cs="等线"/>
                <w:i w:val="0"/>
                <w:iCs w:val="0"/>
                <w:color w:val="000000"/>
                <w:kern w:val="0"/>
                <w:sz w:val="24"/>
                <w:szCs w:val="24"/>
                <w:u w:val="none"/>
                <w:lang w:val="en-US" w:eastAsia="zh-CN" w:bidi="ar"/>
              </w:rPr>
              <w:t>290,180.78</w:t>
            </w:r>
          </w:p>
        </w:tc>
      </w:tr>
      <w:tr>
        <w:tblPrEx>
          <w:tblCellMar>
            <w:top w:w="0" w:type="dxa"/>
            <w:left w:w="108" w:type="dxa"/>
            <w:bottom w:w="0" w:type="dxa"/>
            <w:right w:w="108" w:type="dxa"/>
          </w:tblCellMar>
        </w:tblPrEx>
        <w:trPr>
          <w:trHeight w:val="600" w:hRule="atLeast"/>
        </w:trPr>
        <w:tc>
          <w:tcPr>
            <w:tcW w:w="3158"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负债总额</w:t>
            </w:r>
          </w:p>
        </w:tc>
        <w:tc>
          <w:tcPr>
            <w:tcW w:w="426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ascii="仿宋_GB2312" w:hAnsi="等线" w:eastAsia="仿宋_GB2312" w:cs="宋体"/>
                <w:color w:val="000000"/>
                <w:kern w:val="0"/>
                <w:szCs w:val="21"/>
              </w:rPr>
            </w:pPr>
            <w:r>
              <w:rPr>
                <w:rFonts w:hint="default" w:ascii="等线" w:hAnsi="等线" w:eastAsia="等线" w:cs="等线"/>
                <w:i w:val="0"/>
                <w:iCs w:val="0"/>
                <w:color w:val="000000"/>
                <w:kern w:val="0"/>
                <w:sz w:val="24"/>
                <w:szCs w:val="24"/>
                <w:u w:val="none"/>
                <w:lang w:val="en-US" w:eastAsia="zh-CN" w:bidi="ar"/>
              </w:rPr>
              <w:t>266,479.18</w:t>
            </w:r>
          </w:p>
        </w:tc>
      </w:tr>
      <w:tr>
        <w:tblPrEx>
          <w:tblCellMar>
            <w:top w:w="0" w:type="dxa"/>
            <w:left w:w="108" w:type="dxa"/>
            <w:bottom w:w="0" w:type="dxa"/>
            <w:right w:w="108" w:type="dxa"/>
          </w:tblCellMar>
        </w:tblPrEx>
        <w:trPr>
          <w:trHeight w:val="600" w:hRule="atLeast"/>
        </w:trPr>
        <w:tc>
          <w:tcPr>
            <w:tcW w:w="3158"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所有者权益总额</w:t>
            </w:r>
          </w:p>
        </w:tc>
        <w:tc>
          <w:tcPr>
            <w:tcW w:w="426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ascii="仿宋_GB2312" w:hAnsi="等线" w:eastAsia="仿宋_GB2312" w:cs="宋体"/>
                <w:color w:val="000000"/>
                <w:kern w:val="0"/>
                <w:szCs w:val="21"/>
              </w:rPr>
            </w:pPr>
            <w:r>
              <w:rPr>
                <w:rFonts w:hint="default" w:ascii="等线" w:hAnsi="等线" w:eastAsia="等线" w:cs="等线"/>
                <w:i w:val="0"/>
                <w:iCs w:val="0"/>
                <w:color w:val="000000"/>
                <w:kern w:val="0"/>
                <w:sz w:val="24"/>
                <w:szCs w:val="24"/>
                <w:u w:val="none"/>
                <w:lang w:val="en-US" w:eastAsia="zh-CN" w:bidi="ar"/>
              </w:rPr>
              <w:t>23,701.60</w:t>
            </w:r>
          </w:p>
        </w:tc>
      </w:tr>
    </w:tbl>
    <w:p>
      <w:pPr>
        <w:autoSpaceDE w:val="0"/>
        <w:autoSpaceDN w:val="0"/>
        <w:adjustRightInd w:val="0"/>
        <w:snapToGrid w:val="0"/>
        <w:spacing w:line="540" w:lineRule="exact"/>
        <w:ind w:right="13" w:rightChars="6" w:firstLine="640" w:firstLineChars="200"/>
        <w:rPr>
          <w:rFonts w:ascii="楷体_GB2312" w:hAnsi="楷体_GB2312" w:eastAsia="楷体_GB2312" w:cs="楷体_GB2312"/>
          <w:color w:val="000000"/>
          <w:kern w:val="0"/>
          <w:sz w:val="32"/>
          <w:szCs w:val="32"/>
        </w:rPr>
      </w:pPr>
    </w:p>
    <w:p>
      <w:pPr>
        <w:autoSpaceDE w:val="0"/>
        <w:autoSpaceDN w:val="0"/>
        <w:adjustRightInd w:val="0"/>
        <w:snapToGrid w:val="0"/>
        <w:spacing w:line="560" w:lineRule="exact"/>
        <w:ind w:right="13" w:rightChars="6" w:firstLine="640" w:firstLineChars="200"/>
        <w:rPr>
          <w:rFonts w:ascii="黑体" w:hAnsi="黑体" w:eastAsia="黑体" w:cs="黑体"/>
          <w:color w:val="000000"/>
          <w:kern w:val="0"/>
          <w:sz w:val="32"/>
          <w:szCs w:val="32"/>
        </w:rPr>
      </w:pPr>
      <w:r>
        <w:rPr>
          <w:rFonts w:hint="eastAsia" w:ascii="黑体" w:hAnsi="黑体" w:eastAsia="黑体" w:cs="黑体"/>
          <w:color w:val="000000"/>
          <w:kern w:val="0"/>
          <w:sz w:val="32"/>
          <w:szCs w:val="32"/>
        </w:rPr>
        <w:t>三、董事会报告摘要</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202</w:t>
      </w: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年是枣临铁路有限责任公司改革发展的一年。董事会</w:t>
      </w:r>
      <w:r>
        <w:rPr>
          <w:rFonts w:hint="eastAsia" w:ascii="仿宋_GB2312" w:hAnsi="仿宋_GB2312" w:eastAsia="仿宋_GB2312" w:cs="仿宋_GB2312"/>
          <w:sz w:val="32"/>
          <w:szCs w:val="32"/>
        </w:rPr>
        <w:t>认真履行《公司法》和《公司章程》所赋予的职责，忠实执行股东会决议，诚实守信，勤勉尽职，以科学、严谨、审慎、客观的工作态度，积极参与各项重大事项的决策，努力维护公司及全体股东的合法权益，有力的保障了公司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年各项工作目标的顺利实现。</w:t>
      </w:r>
    </w:p>
    <w:p>
      <w:pPr>
        <w:spacing w:line="600" w:lineRule="exact"/>
        <w:ind w:firstLine="640" w:firstLineChars="200"/>
        <w:rPr>
          <w:rFonts w:ascii="仿宋_GB2312" w:hAnsi="仿宋_GB2312" w:eastAsia="仿宋_GB2312" w:cs="仿宋_GB2312"/>
          <w:sz w:val="32"/>
          <w:szCs w:val="32"/>
          <w:lang w:eastAsia="zh-CN"/>
        </w:rPr>
      </w:pPr>
      <w:r>
        <w:rPr>
          <w:rFonts w:hint="eastAsia" w:ascii="楷体_GB2312" w:hAnsi="楷体_GB2312" w:eastAsia="楷体_GB2312" w:cs="楷体_GB2312"/>
          <w:sz w:val="32"/>
          <w:szCs w:val="32"/>
          <w:lang w:eastAsia="zh-CN"/>
        </w:rPr>
        <w:t>（一）规范公司法人治理决策。</w:t>
      </w:r>
      <w:r>
        <w:rPr>
          <w:rFonts w:hint="eastAsia" w:ascii="仿宋_GB2312" w:hAnsi="仿宋_GB2312" w:eastAsia="仿宋_GB2312" w:cs="仿宋_GB2312"/>
          <w:sz w:val="32"/>
          <w:szCs w:val="32"/>
          <w:lang w:eastAsia="zh-CN"/>
        </w:rPr>
        <w:t>组织召开了</w:t>
      </w:r>
      <w:r>
        <w:rPr>
          <w:rFonts w:hint="eastAsia" w:ascii="仿宋_GB2312" w:hAnsi="仿宋_GB2312" w:eastAsia="仿宋_GB2312" w:cs="仿宋_GB2312"/>
          <w:sz w:val="32"/>
          <w:szCs w:val="32"/>
          <w:lang w:val="en-US" w:eastAsia="zh-CN"/>
        </w:rPr>
        <w:t>枣临</w:t>
      </w:r>
      <w:r>
        <w:rPr>
          <w:rFonts w:hint="eastAsia" w:ascii="仿宋_GB2312" w:hAnsi="仿宋_GB2312" w:eastAsia="仿宋_GB2312" w:cs="仿宋_GB2312"/>
          <w:sz w:val="32"/>
          <w:szCs w:val="32"/>
          <w:lang w:eastAsia="zh-CN"/>
        </w:rPr>
        <w:t>铁路有限责任公司202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年股东会、董事会、监事会。</w:t>
      </w:r>
      <w:r>
        <w:rPr>
          <w:rFonts w:hint="eastAsia" w:ascii="仿宋_GB2312" w:hAnsi="仿宋_GB2312" w:eastAsia="仿宋_GB2312" w:cs="仿宋_GB2312"/>
          <w:bCs/>
          <w:sz w:val="32"/>
          <w:szCs w:val="32"/>
          <w:lang w:eastAsia="zh-CN"/>
        </w:rPr>
        <w:t>根据工作实际，组织召开2次临时股东会、董事会，重大事项股东会决策，确保相关经营工作及时推进。</w:t>
      </w:r>
      <w:r>
        <w:rPr>
          <w:rFonts w:hint="eastAsia" w:ascii="仿宋_GB2312" w:hAnsi="仿宋_GB2312" w:eastAsia="仿宋_GB2312" w:cs="仿宋_GB2312"/>
          <w:bCs/>
          <w:sz w:val="32"/>
          <w:szCs w:val="32"/>
          <w:lang w:val="en-US" w:eastAsia="zh-CN"/>
        </w:rPr>
        <w:t>选举补充了职工董事、职工监事。</w:t>
      </w:r>
      <w:r>
        <w:rPr>
          <w:rFonts w:hint="eastAsia" w:ascii="仿宋_GB2312" w:hAnsi="仿宋_GB2312" w:eastAsia="仿宋_GB2312" w:cs="仿宋_GB2312"/>
          <w:sz w:val="32"/>
          <w:szCs w:val="32"/>
          <w:lang w:eastAsia="zh-CN"/>
        </w:rPr>
        <w:t>各位董事勤勉尽责，认真履行董事义务，充分发挥专业技能和决策能力，在推进董事会自身建设、制定公司发展战略、完善公司各项管理制度等多项工作中发挥了重要作用。</w:t>
      </w:r>
    </w:p>
    <w:p>
      <w:pPr>
        <w:spacing w:line="600" w:lineRule="exact"/>
        <w:jc w:val="both"/>
        <w:rPr>
          <w:rFonts w:ascii="仿宋_GB2312" w:hAnsi="仿宋_GB2312" w:eastAsia="仿宋_GB2312" w:cs="仿宋_GB2312"/>
          <w:bCs/>
          <w:sz w:val="32"/>
          <w:szCs w:val="32"/>
          <w:lang w:eastAsia="zh-CN"/>
        </w:rPr>
      </w:pPr>
      <w:r>
        <w:rPr>
          <w:rFonts w:hint="eastAsia" w:ascii="仿宋_GB2312" w:eastAsia="仿宋_GB2312"/>
          <w:b/>
          <w:bCs/>
          <w:sz w:val="32"/>
          <w:szCs w:val="32"/>
          <w:lang w:eastAsia="zh-CN"/>
        </w:rPr>
        <w:t xml:space="preserve">  </w:t>
      </w:r>
      <w:r>
        <w:rPr>
          <w:rFonts w:hint="eastAsia" w:ascii="楷体_GB2312" w:hAnsi="楷体_GB2312" w:eastAsia="楷体_GB2312" w:cs="楷体_GB2312"/>
          <w:sz w:val="32"/>
          <w:szCs w:val="32"/>
          <w:lang w:eastAsia="zh-CN"/>
        </w:rPr>
        <w:t xml:space="preserve">  （</w:t>
      </w: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kern w:val="1"/>
          <w:sz w:val="32"/>
          <w:szCs w:val="32"/>
          <w:lang w:eastAsia="zh-CN"/>
        </w:rPr>
        <w:t>落实委托运输监管职责</w:t>
      </w:r>
      <w:r>
        <w:rPr>
          <w:rFonts w:hint="eastAsia" w:ascii="仿宋_GB2312" w:hAnsi="仿宋_GB2312" w:eastAsia="仿宋_GB2312" w:cs="仿宋_GB2312"/>
          <w:sz w:val="32"/>
          <w:szCs w:val="32"/>
          <w:lang w:eastAsia="zh-CN"/>
        </w:rPr>
        <w:t>。</w:t>
      </w:r>
      <w:r>
        <w:rPr>
          <w:rFonts w:hint="eastAsia" w:ascii="仿宋_GB2312" w:eastAsia="仿宋_GB2312"/>
          <w:bCs/>
          <w:sz w:val="32"/>
          <w:szCs w:val="32"/>
        </w:rPr>
        <w:t>一是严格实行安全隐患库、安全风险库“双重预防机制”，并根据设备变化情况</w:t>
      </w:r>
      <w:r>
        <w:rPr>
          <w:rFonts w:hint="eastAsia" w:ascii="仿宋_GB2312" w:eastAsia="仿宋_GB2312"/>
          <w:bCs/>
          <w:sz w:val="32"/>
          <w:szCs w:val="32"/>
          <w:lang w:val="en-US" w:eastAsia="zh-CN"/>
        </w:rPr>
        <w:t>动态</w:t>
      </w:r>
      <w:r>
        <w:rPr>
          <w:rFonts w:hint="eastAsia" w:ascii="仿宋_GB2312" w:eastAsia="仿宋_GB2312"/>
          <w:bCs/>
          <w:sz w:val="32"/>
          <w:szCs w:val="32"/>
        </w:rPr>
        <w:t>更新。二是对全线的高路基、深路堑、公跨铁立交桥、公路与铁路并行段防护栅栏排定检查计划，定期进行现场巡查，留存影像记录。三是开展防洪防汛专项检查。对</w:t>
      </w:r>
      <w:r>
        <w:rPr>
          <w:rFonts w:hint="eastAsia" w:ascii="仿宋_GB2312" w:eastAsia="仿宋_GB2312"/>
          <w:bCs/>
          <w:sz w:val="32"/>
          <w:szCs w:val="32"/>
          <w:lang w:val="en-US" w:eastAsia="zh-CN"/>
        </w:rPr>
        <w:t>枣临</w:t>
      </w:r>
      <w:r>
        <w:rPr>
          <w:rFonts w:hint="eastAsia" w:ascii="仿宋_GB2312" w:eastAsia="仿宋_GB2312"/>
          <w:bCs/>
          <w:sz w:val="32"/>
          <w:szCs w:val="32"/>
        </w:rPr>
        <w:t>铁路</w:t>
      </w:r>
      <w:r>
        <w:rPr>
          <w:rFonts w:hint="eastAsia" w:ascii="仿宋_GB2312" w:eastAsia="仿宋_GB2312"/>
          <w:bCs/>
          <w:sz w:val="32"/>
          <w:szCs w:val="32"/>
          <w:lang w:val="en-US" w:eastAsia="zh-CN"/>
        </w:rPr>
        <w:t>8</w:t>
      </w:r>
      <w:r>
        <w:rPr>
          <w:rFonts w:hint="eastAsia" w:ascii="仿宋_GB2312" w:eastAsia="仿宋_GB2312"/>
          <w:bCs/>
          <w:sz w:val="32"/>
          <w:szCs w:val="32"/>
        </w:rPr>
        <w:t>处易发生水害地段进行现场检查。四是我公司按合同约定聘请山东地方铁路学会专家组对</w:t>
      </w:r>
      <w:r>
        <w:rPr>
          <w:rFonts w:hint="eastAsia" w:ascii="仿宋_GB2312" w:eastAsia="仿宋_GB2312"/>
          <w:bCs/>
          <w:sz w:val="32"/>
          <w:szCs w:val="32"/>
          <w:lang w:val="en-US" w:eastAsia="zh-CN"/>
        </w:rPr>
        <w:t>枣临</w:t>
      </w:r>
      <w:r>
        <w:rPr>
          <w:rFonts w:hint="eastAsia" w:ascii="仿宋_GB2312" w:eastAsia="仿宋_GB2312"/>
          <w:bCs/>
          <w:sz w:val="32"/>
          <w:szCs w:val="32"/>
        </w:rPr>
        <w:t>铁路作运输、安全技术诊断检查，并对诊断报告中提出的问题进行跟踪整改。五是加强交通、消防、人身安全管理。对车辆严格落实派车及车辆维修保养审批制度，对办公场所、员工宿舍消防安全进行定期检查，对检查发现的8条问题督促整改并纳入考核。利用交班会、学习会等形式加强对员工的教育提醒，增强自我防护意识。</w:t>
      </w:r>
    </w:p>
    <w:p>
      <w:pPr>
        <w:spacing w:line="600" w:lineRule="exact"/>
        <w:ind w:firstLine="640" w:firstLineChars="200"/>
        <w:jc w:val="both"/>
        <w:rPr>
          <w:rFonts w:ascii="仿宋_GB2312" w:hAnsi="仿宋_GB2312" w:eastAsia="仿宋_GB2312" w:cs="仿宋_GB2312"/>
          <w:bCs/>
          <w:sz w:val="32"/>
          <w:szCs w:val="32"/>
          <w:lang w:eastAsia="zh-CN"/>
        </w:rPr>
      </w:pPr>
      <w:r>
        <w:rPr>
          <w:rFonts w:hint="eastAsia" w:ascii="楷体_GB2312" w:hAnsi="楷体_GB2312" w:eastAsia="楷体_GB2312" w:cs="楷体_GB2312"/>
          <w:kern w:val="1"/>
          <w:sz w:val="32"/>
          <w:szCs w:val="32"/>
          <w:lang w:eastAsia="zh-CN"/>
        </w:rPr>
        <w:t>（</w:t>
      </w:r>
      <w:r>
        <w:rPr>
          <w:rFonts w:hint="eastAsia" w:ascii="楷体_GB2312" w:hAnsi="楷体_GB2312" w:eastAsia="楷体_GB2312" w:cs="楷体_GB2312"/>
          <w:kern w:val="1"/>
          <w:sz w:val="32"/>
          <w:szCs w:val="32"/>
          <w:lang w:val="en-US" w:eastAsia="zh-CN"/>
        </w:rPr>
        <w:t>三</w:t>
      </w:r>
      <w:r>
        <w:rPr>
          <w:rFonts w:hint="eastAsia" w:ascii="楷体_GB2312" w:hAnsi="楷体_GB2312" w:eastAsia="楷体_GB2312" w:cs="楷体_GB2312"/>
          <w:kern w:val="1"/>
          <w:sz w:val="32"/>
          <w:szCs w:val="32"/>
          <w:lang w:eastAsia="zh-CN"/>
        </w:rPr>
        <w:t>）规范经营管理工作。</w:t>
      </w:r>
      <w:r>
        <w:rPr>
          <w:rFonts w:hint="eastAsia" w:ascii="仿宋_GB2312" w:hAnsi="仿宋_GB2312" w:eastAsia="仿宋_GB2312" w:cs="仿宋_GB2312"/>
          <w:b/>
          <w:bCs/>
          <w:sz w:val="32"/>
          <w:szCs w:val="32"/>
          <w:lang w:eastAsia="zh-CN"/>
        </w:rPr>
        <w:t>一是</w:t>
      </w:r>
      <w:r>
        <w:rPr>
          <w:rFonts w:hint="eastAsia" w:ascii="仿宋_GB2312" w:hAnsi="仿宋_GB2312" w:eastAsia="仿宋_GB2312" w:cs="仿宋_GB2312"/>
          <w:bCs/>
          <w:sz w:val="32"/>
          <w:szCs w:val="32"/>
        </w:rPr>
        <w:t>推进公司工商变更工作。</w:t>
      </w:r>
      <w:r>
        <w:rPr>
          <w:rFonts w:hint="eastAsia" w:ascii="仿宋_GB2312" w:hAnsi="仿宋_GB2312" w:eastAsia="仿宋_GB2312" w:cs="仿宋_GB2312"/>
          <w:bCs/>
          <w:sz w:val="32"/>
          <w:szCs w:val="32"/>
          <w:lang w:eastAsia="zh-CN"/>
        </w:rPr>
        <w:t>按照公司要求，经过多方沟通协商，最终确定将</w:t>
      </w:r>
      <w:r>
        <w:rPr>
          <w:rFonts w:hint="eastAsia" w:ascii="仿宋_GB2312" w:hAnsi="仿宋_GB2312" w:eastAsia="仿宋_GB2312" w:cs="仿宋_GB2312"/>
          <w:bCs/>
          <w:sz w:val="32"/>
          <w:szCs w:val="32"/>
          <w:lang w:val="en-US" w:eastAsia="zh-CN"/>
        </w:rPr>
        <w:t>枣临</w:t>
      </w:r>
      <w:r>
        <w:rPr>
          <w:rFonts w:hint="eastAsia" w:ascii="仿宋_GB2312" w:hAnsi="仿宋_GB2312" w:eastAsia="仿宋_GB2312" w:cs="仿宋_GB2312"/>
          <w:bCs/>
          <w:sz w:val="32"/>
          <w:szCs w:val="32"/>
          <w:lang w:eastAsia="zh-CN"/>
        </w:rPr>
        <w:t>公司落户临沂市兰山区。</w:t>
      </w:r>
      <w:r>
        <w:rPr>
          <w:rFonts w:hint="eastAsia" w:ascii="仿宋_GB2312" w:eastAsia="仿宋_GB2312"/>
          <w:bCs/>
          <w:sz w:val="32"/>
          <w:szCs w:val="32"/>
        </w:rPr>
        <w:t>于2023年</w:t>
      </w:r>
      <w:r>
        <w:rPr>
          <w:rFonts w:hint="eastAsia" w:ascii="仿宋_GB2312" w:eastAsia="仿宋_GB2312"/>
          <w:bCs/>
          <w:sz w:val="32"/>
          <w:szCs w:val="32"/>
          <w:lang w:val="en-US" w:eastAsia="zh-CN"/>
        </w:rPr>
        <w:t>4</w:t>
      </w:r>
      <w:r>
        <w:rPr>
          <w:rFonts w:hint="eastAsia" w:ascii="仿宋_GB2312" w:eastAsia="仿宋_GB2312"/>
          <w:bCs/>
          <w:sz w:val="32"/>
          <w:szCs w:val="32"/>
        </w:rPr>
        <w:t>月份完成了公司注册地</w:t>
      </w:r>
      <w:r>
        <w:rPr>
          <w:rFonts w:hint="eastAsia" w:ascii="仿宋_GB2312" w:eastAsia="仿宋_GB2312"/>
          <w:bCs/>
          <w:sz w:val="32"/>
          <w:szCs w:val="32"/>
          <w:lang w:val="en-US" w:eastAsia="zh-CN"/>
        </w:rPr>
        <w:t>工商变更登记</w:t>
      </w:r>
      <w:r>
        <w:rPr>
          <w:rFonts w:hint="eastAsia" w:ascii="仿宋_GB2312" w:hAnsi="仿宋_GB2312" w:eastAsia="仿宋_GB2312" w:cs="仿宋_GB2312"/>
          <w:bCs/>
          <w:sz w:val="32"/>
          <w:szCs w:val="32"/>
          <w:lang w:eastAsia="zh-CN"/>
        </w:rPr>
        <w:t>。</w:t>
      </w:r>
      <w:r>
        <w:rPr>
          <w:rFonts w:hint="eastAsia" w:ascii="仿宋_GB2312" w:eastAsia="仿宋_GB2312"/>
          <w:bCs/>
          <w:sz w:val="32"/>
          <w:szCs w:val="32"/>
          <w:lang w:val="en-US" w:eastAsia="zh-CN"/>
        </w:rPr>
        <w:t>枣临</w:t>
      </w:r>
      <w:r>
        <w:rPr>
          <w:rFonts w:hint="eastAsia" w:ascii="仿宋_GB2312" w:eastAsia="仿宋_GB2312"/>
          <w:bCs/>
          <w:sz w:val="32"/>
          <w:szCs w:val="32"/>
        </w:rPr>
        <w:t>公司股东、法定代表人等变更登记内容均已形成公司股东会决议，公司变更登记所需材料已通过兰山区行政审批局审核。于202</w:t>
      </w:r>
      <w:r>
        <w:rPr>
          <w:rFonts w:hint="eastAsia" w:ascii="仿宋_GB2312" w:eastAsia="仿宋_GB2312"/>
          <w:bCs/>
          <w:sz w:val="32"/>
          <w:szCs w:val="32"/>
          <w:lang w:val="en-US" w:eastAsia="zh-CN"/>
        </w:rPr>
        <w:t>4</w:t>
      </w:r>
      <w:r>
        <w:rPr>
          <w:rFonts w:hint="eastAsia" w:ascii="仿宋_GB2312" w:eastAsia="仿宋_GB2312"/>
          <w:bCs/>
          <w:sz w:val="32"/>
          <w:szCs w:val="32"/>
        </w:rPr>
        <w:t>年3月份完成</w:t>
      </w:r>
      <w:r>
        <w:rPr>
          <w:rFonts w:hint="eastAsia" w:ascii="仿宋_GB2312" w:eastAsia="仿宋_GB2312"/>
          <w:bCs/>
          <w:sz w:val="32"/>
          <w:szCs w:val="32"/>
          <w:lang w:val="en-US" w:eastAsia="zh-CN"/>
        </w:rPr>
        <w:t>工商变更登记，取得新的营业执照</w:t>
      </w:r>
      <w:r>
        <w:rPr>
          <w:rFonts w:hint="eastAsia" w:ascii="仿宋_GB2312" w:hAnsi="仿宋_GB2312" w:eastAsia="仿宋_GB2312" w:cs="仿宋_GB2312"/>
          <w:bCs/>
          <w:sz w:val="32"/>
          <w:szCs w:val="32"/>
          <w:lang w:eastAsia="zh-CN"/>
        </w:rPr>
        <w:t>。二</w:t>
      </w:r>
      <w:r>
        <w:rPr>
          <w:rFonts w:hint="eastAsia" w:ascii="仿宋_GB2312" w:hAnsi="仿宋_GB2312" w:eastAsia="仿宋_GB2312" w:cs="仿宋_GB2312"/>
          <w:b/>
          <w:sz w:val="32"/>
          <w:szCs w:val="32"/>
          <w:lang w:eastAsia="zh-CN"/>
        </w:rPr>
        <w:t>是</w:t>
      </w:r>
      <w:r>
        <w:rPr>
          <w:rFonts w:hint="eastAsia" w:ascii="仿宋_GB2312" w:hAnsi="仿宋_GB2312" w:eastAsia="仿宋_GB2312" w:cs="仿宋_GB2312"/>
          <w:bCs/>
          <w:sz w:val="32"/>
          <w:szCs w:val="32"/>
          <w:lang w:eastAsia="zh-CN"/>
        </w:rPr>
        <w:t>推进能源管理改革。</w:t>
      </w:r>
      <w:r>
        <w:rPr>
          <w:rFonts w:hint="eastAsia" w:ascii="仿宋_GB2312" w:eastAsia="仿宋_GB2312"/>
          <w:bCs/>
          <w:sz w:val="32"/>
          <w:szCs w:val="32"/>
        </w:rPr>
        <w:t>3月完成</w:t>
      </w:r>
      <w:r>
        <w:rPr>
          <w:rFonts w:hint="eastAsia" w:ascii="仿宋_GB2312" w:eastAsia="仿宋_GB2312"/>
          <w:bCs/>
          <w:sz w:val="32"/>
          <w:szCs w:val="32"/>
          <w:lang w:val="en-US" w:eastAsia="zh-CN"/>
        </w:rPr>
        <w:t>枣临</w:t>
      </w:r>
      <w:r>
        <w:rPr>
          <w:rFonts w:hint="eastAsia" w:ascii="仿宋_GB2312" w:eastAsia="仿宋_GB2312"/>
          <w:bCs/>
          <w:sz w:val="32"/>
          <w:szCs w:val="32"/>
        </w:rPr>
        <w:t>铁路水电暖业务外包项目</w:t>
      </w:r>
      <w:r>
        <w:rPr>
          <w:rFonts w:hint="eastAsia" w:ascii="仿宋_GB2312" w:eastAsia="仿宋_GB2312"/>
          <w:bCs/>
          <w:sz w:val="32"/>
          <w:szCs w:val="32"/>
          <w:lang w:val="en-US" w:eastAsia="zh-CN"/>
        </w:rPr>
        <w:t>招标</w:t>
      </w:r>
      <w:r>
        <w:rPr>
          <w:rFonts w:hint="eastAsia" w:ascii="仿宋_GB2312" w:eastAsia="仿宋_GB2312"/>
          <w:bCs/>
          <w:sz w:val="32"/>
          <w:szCs w:val="32"/>
        </w:rPr>
        <w:t>，铁投能源公司中标。按照非运输业务管理经营会议精神，对水电暖业务外包项目委托管理合同进行补充完善。4月份完成合同的签订工作。每季对能源公司履约评价考核后支付服务费用。</w:t>
      </w:r>
      <w:r>
        <w:rPr>
          <w:rFonts w:hint="eastAsia" w:ascii="仿宋_GB2312" w:hAnsi="仿宋" w:eastAsia="仿宋_GB2312"/>
          <w:sz w:val="32"/>
          <w:szCs w:val="32"/>
        </w:rPr>
        <w:t>于2</w:t>
      </w:r>
      <w:r>
        <w:rPr>
          <w:rFonts w:ascii="仿宋_GB2312" w:hAnsi="仿宋" w:eastAsia="仿宋_GB2312"/>
          <w:sz w:val="32"/>
          <w:szCs w:val="32"/>
        </w:rPr>
        <w:t>023</w:t>
      </w:r>
      <w:r>
        <w:rPr>
          <w:rFonts w:hint="eastAsia" w:ascii="仿宋_GB2312" w:hAnsi="仿宋" w:eastAsia="仿宋_GB2312"/>
          <w:sz w:val="32"/>
          <w:szCs w:val="32"/>
        </w:rPr>
        <w:t>年年初协同</w:t>
      </w:r>
      <w:r>
        <w:rPr>
          <w:rFonts w:hint="eastAsia" w:ascii="仿宋_GB2312" w:hAnsi="仿宋" w:eastAsia="仿宋_GB2312"/>
          <w:sz w:val="32"/>
          <w:szCs w:val="32"/>
          <w:lang w:val="en-US" w:eastAsia="zh-CN"/>
        </w:rPr>
        <w:t>兖州车务段、</w:t>
      </w:r>
      <w:r>
        <w:rPr>
          <w:rFonts w:hint="eastAsia" w:ascii="仿宋_GB2312" w:hAnsi="仿宋" w:eastAsia="仿宋_GB2312"/>
          <w:sz w:val="32"/>
          <w:szCs w:val="32"/>
        </w:rPr>
        <w:t>济南供电段、临沂车务段完成</w:t>
      </w:r>
      <w:r>
        <w:rPr>
          <w:rFonts w:hint="eastAsia" w:ascii="仿宋_GB2312" w:hAnsi="仿宋" w:eastAsia="仿宋_GB2312"/>
          <w:sz w:val="32"/>
          <w:szCs w:val="32"/>
          <w:lang w:val="en-US" w:eastAsia="zh-CN"/>
        </w:rPr>
        <w:t>枣临</w:t>
      </w:r>
      <w:r>
        <w:rPr>
          <w:rFonts w:hint="eastAsia" w:ascii="仿宋_GB2312" w:hAnsi="仿宋" w:eastAsia="仿宋_GB2312"/>
          <w:sz w:val="32"/>
          <w:szCs w:val="32"/>
        </w:rPr>
        <w:t>铁路1</w:t>
      </w:r>
      <w:r>
        <w:rPr>
          <w:rFonts w:ascii="仿宋_GB2312" w:hAnsi="仿宋" w:eastAsia="仿宋_GB2312"/>
          <w:sz w:val="32"/>
          <w:szCs w:val="32"/>
        </w:rPr>
        <w:t>0KV</w:t>
      </w:r>
      <w:r>
        <w:rPr>
          <w:rFonts w:hint="eastAsia" w:ascii="仿宋_GB2312" w:hAnsi="仿宋" w:eastAsia="仿宋_GB2312"/>
          <w:sz w:val="32"/>
          <w:szCs w:val="32"/>
        </w:rPr>
        <w:t>车站用电过户移交。</w:t>
      </w:r>
    </w:p>
    <w:p>
      <w:pPr>
        <w:spacing w:line="56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kern w:val="1"/>
          <w:sz w:val="32"/>
          <w:szCs w:val="32"/>
          <w:lang w:eastAsia="zh-CN"/>
        </w:rPr>
        <w:t>（</w:t>
      </w:r>
      <w:r>
        <w:rPr>
          <w:rFonts w:hint="eastAsia" w:ascii="楷体_GB2312" w:hAnsi="楷体_GB2312" w:eastAsia="楷体_GB2312" w:cs="楷体_GB2312"/>
          <w:kern w:val="1"/>
          <w:sz w:val="32"/>
          <w:szCs w:val="32"/>
          <w:lang w:val="en-US" w:eastAsia="zh-CN"/>
        </w:rPr>
        <w:t>四</w:t>
      </w:r>
      <w:r>
        <w:rPr>
          <w:rFonts w:hint="eastAsia" w:ascii="楷体_GB2312" w:hAnsi="楷体_GB2312" w:eastAsia="楷体_GB2312" w:cs="楷体_GB2312"/>
          <w:kern w:val="1"/>
          <w:sz w:val="32"/>
          <w:szCs w:val="32"/>
          <w:lang w:eastAsia="zh-CN"/>
        </w:rPr>
        <w:t>）</w:t>
      </w:r>
      <w:r>
        <w:rPr>
          <w:rFonts w:hint="eastAsia" w:ascii="楷体_GB2312" w:hAnsi="楷体_GB2312" w:eastAsia="楷体_GB2312" w:cs="楷体_GB2312"/>
          <w:b w:val="0"/>
          <w:bCs w:val="0"/>
          <w:sz w:val="32"/>
          <w:szCs w:val="32"/>
          <w:lang w:val="en-US" w:eastAsia="zh-CN" w:bidi="ar-SA"/>
        </w:rPr>
        <w:t>扎实抓好支部建设</w:t>
      </w:r>
      <w:r>
        <w:rPr>
          <w:rFonts w:hint="eastAsia" w:ascii="楷体_GB2312" w:hAnsi="楷体_GB2312" w:eastAsia="楷体_GB2312" w:cs="楷体_GB2312"/>
          <w:kern w:val="1"/>
          <w:sz w:val="32"/>
          <w:szCs w:val="32"/>
          <w:lang w:eastAsia="zh-CN"/>
        </w:rPr>
        <w:t>。</w:t>
      </w:r>
      <w:r>
        <w:rPr>
          <w:rFonts w:hint="eastAsia" w:ascii="楷体_GB2312" w:hAnsi="楷体_GB2312" w:eastAsia="楷体_GB2312" w:cs="楷体_GB2312"/>
          <w:kern w:val="1"/>
          <w:sz w:val="32"/>
          <w:szCs w:val="32"/>
          <w:lang w:val="en-US" w:eastAsia="zh-CN"/>
        </w:rPr>
        <w:t>一是</w:t>
      </w:r>
      <w:r>
        <w:rPr>
          <w:rFonts w:hint="eastAsia" w:ascii="仿宋_GB2312" w:eastAsia="仿宋_GB2312"/>
          <w:sz w:val="32"/>
          <w:szCs w:val="32"/>
        </w:rPr>
        <w:t>发挥党</w:t>
      </w:r>
      <w:r>
        <w:rPr>
          <w:rFonts w:hint="eastAsia" w:ascii="仿宋_GB2312" w:eastAsia="仿宋_GB2312"/>
          <w:sz w:val="32"/>
          <w:szCs w:val="32"/>
          <w:lang w:val="en-US" w:eastAsia="zh-CN"/>
        </w:rPr>
        <w:t>组织</w:t>
      </w:r>
      <w:r>
        <w:rPr>
          <w:rFonts w:hint="eastAsia" w:ascii="仿宋_GB2312" w:eastAsia="仿宋_GB2312"/>
          <w:sz w:val="32"/>
          <w:szCs w:val="32"/>
        </w:rPr>
        <w:t>把方向、管大局、保落实作用</w:t>
      </w:r>
      <w:r>
        <w:rPr>
          <w:rFonts w:hint="eastAsia" w:ascii="仿宋_GB2312" w:eastAsia="仿宋_GB2312"/>
          <w:sz w:val="32"/>
          <w:szCs w:val="32"/>
          <w:lang w:val="en-US" w:eastAsia="zh-CN"/>
        </w:rPr>
        <w:t>，</w:t>
      </w:r>
      <w:r>
        <w:rPr>
          <w:rFonts w:hint="eastAsia" w:ascii="仿宋_GB2312" w:hAnsi="仿宋_GB2312" w:eastAsia="仿宋_GB2312" w:cs="仿宋_GB2312"/>
          <w:snapToGrid w:val="0"/>
          <w:kern w:val="0"/>
          <w:sz w:val="32"/>
          <w:szCs w:val="32"/>
        </w:rPr>
        <w:t>研究制定了党支部研究决定事项清单、前置研究讨论事项清单及负面清单</w:t>
      </w:r>
      <w:r>
        <w:rPr>
          <w:rFonts w:hint="eastAsia" w:ascii="仿宋_GB2312" w:hAnsi="仿宋_GB2312" w:eastAsia="仿宋_GB2312" w:cs="仿宋_GB2312"/>
          <w:snapToGrid w:val="0"/>
          <w:kern w:val="0"/>
          <w:sz w:val="32"/>
          <w:szCs w:val="32"/>
          <w:lang w:eastAsia="zh-CN"/>
        </w:rPr>
        <w:t>，</w:t>
      </w:r>
      <w:r>
        <w:rPr>
          <w:rFonts w:hint="eastAsia" w:ascii="仿宋_GB2312" w:eastAsia="仿宋_GB2312"/>
          <w:sz w:val="32"/>
          <w:szCs w:val="32"/>
          <w:lang w:val="en-US" w:eastAsia="zh-CN"/>
        </w:rPr>
        <w:t>做到“三重一大事项”支部党员大会前置研究</w:t>
      </w:r>
      <w:r>
        <w:rPr>
          <w:rFonts w:hint="eastAsia" w:ascii="仿宋_GB2312" w:eastAsia="仿宋_GB2312"/>
          <w:sz w:val="32"/>
          <w:szCs w:val="32"/>
        </w:rPr>
        <w:t>。</w:t>
      </w:r>
      <w:r>
        <w:rPr>
          <w:rFonts w:hint="eastAsia" w:ascii="仿宋_GB2312" w:eastAsia="仿宋_GB2312"/>
          <w:sz w:val="32"/>
          <w:szCs w:val="32"/>
          <w:lang w:val="en-US" w:eastAsia="zh-CN"/>
        </w:rPr>
        <w:t>二是围绕</w:t>
      </w:r>
      <w:r>
        <w:rPr>
          <w:rFonts w:hint="eastAsia" w:ascii="仿宋_GB2312" w:eastAsia="仿宋_GB2312"/>
          <w:sz w:val="32"/>
          <w:szCs w:val="32"/>
        </w:rPr>
        <w:t>年度党建重点任务，</w:t>
      </w:r>
      <w:r>
        <w:rPr>
          <w:rFonts w:hint="eastAsia" w:ascii="仿宋_GB2312" w:eastAsia="仿宋_GB2312"/>
          <w:sz w:val="32"/>
          <w:szCs w:val="32"/>
          <w:lang w:val="en-US" w:eastAsia="zh-CN"/>
        </w:rPr>
        <w:t>抓好</w:t>
      </w:r>
      <w:r>
        <w:rPr>
          <w:rFonts w:hint="eastAsia" w:ascii="仿宋_GB2312" w:eastAsia="仿宋_GB2312"/>
          <w:sz w:val="32"/>
          <w:szCs w:val="32"/>
        </w:rPr>
        <w:t>“三会一课”、组织生活会、主题党日活动</w:t>
      </w:r>
      <w:r>
        <w:rPr>
          <w:rFonts w:hint="eastAsia" w:ascii="仿宋_GB2312" w:eastAsia="仿宋_GB2312"/>
          <w:sz w:val="32"/>
          <w:szCs w:val="32"/>
          <w:lang w:val="en-US" w:eastAsia="zh-CN"/>
        </w:rPr>
        <w:t>的规划和落实。三是</w:t>
      </w:r>
      <w:r>
        <w:rPr>
          <w:rFonts w:hint="eastAsia" w:ascii="仿宋_GB2312" w:hAnsi="仿宋_GB2312" w:eastAsia="仿宋_GB2312" w:cs="仿宋_GB2312"/>
          <w:sz w:val="32"/>
          <w:szCs w:val="32"/>
          <w:lang w:val="en-US" w:eastAsia="zh-CN"/>
        </w:rPr>
        <w:t>开展主题教育，从六个方面逐条对照，全面梳理，自查7条问题全部落实整改。四是落实党风廉政建设，</w:t>
      </w:r>
      <w:r>
        <w:rPr>
          <w:rFonts w:hint="eastAsia" w:ascii="仿宋_GB2312" w:eastAsia="仿宋_GB2312"/>
          <w:sz w:val="32"/>
          <w:szCs w:val="32"/>
        </w:rPr>
        <w:t>开展“靠企吃企”问题自查自纠和专项整治，开展违反中央八项规定精神突出问题专项治理，开展“不担当不作为假作为乱作为”问题排查</w:t>
      </w:r>
      <w:r>
        <w:rPr>
          <w:rFonts w:hint="eastAsia" w:ascii="仿宋_GB2312" w:eastAsia="仿宋_GB2312"/>
          <w:sz w:val="32"/>
          <w:szCs w:val="32"/>
          <w:lang w:eastAsia="zh-CN"/>
        </w:rPr>
        <w:t>。</w:t>
      </w:r>
      <w:r>
        <w:rPr>
          <w:rFonts w:hint="eastAsia" w:ascii="仿宋_GB2312" w:hAnsi="仿宋_GB2312" w:eastAsia="仿宋_GB2312" w:cs="仿宋_GB2312"/>
          <w:sz w:val="32"/>
          <w:szCs w:val="32"/>
          <w:lang w:val="en-US" w:eastAsia="zh-CN"/>
        </w:rPr>
        <w:t>全年组织支部党员大会（含组织生活会）18次、党课4次，亲自讲党课3次，开展主题党日活动12次，</w:t>
      </w:r>
      <w:r>
        <w:rPr>
          <w:rFonts w:hint="eastAsia" w:ascii="仿宋_GB2312" w:hAnsi="宋体" w:eastAsia="仿宋_GB2312" w:cs="宋体"/>
          <w:b w:val="0"/>
          <w:bCs w:val="0"/>
          <w:kern w:val="0"/>
          <w:sz w:val="32"/>
          <w:szCs w:val="32"/>
          <w:lang w:val="en-US" w:eastAsia="zh-CN" w:bidi="ar"/>
        </w:rPr>
        <w:t>教育引导所有员工，</w:t>
      </w:r>
      <w:r>
        <w:rPr>
          <w:rFonts w:hint="eastAsia" w:ascii="仿宋_GB2312" w:eastAsia="仿宋_GB2312"/>
          <w:sz w:val="32"/>
          <w:szCs w:val="32"/>
        </w:rPr>
        <w:t>克服人员少、专业人员不足的困难，打破部门界限，围绕重点工作合力攻坚，集中力量解决关键问题。</w:t>
      </w:r>
      <w:r>
        <w:rPr>
          <w:rFonts w:hint="eastAsia" w:ascii="仿宋_GB2312" w:eastAsia="仿宋_GB2312"/>
          <w:bCs/>
          <w:sz w:val="32"/>
          <w:szCs w:val="32"/>
          <w:lang w:val="en-US" w:eastAsia="zh-CN"/>
        </w:rPr>
        <w:t>2023年初</w:t>
      </w:r>
      <w:r>
        <w:rPr>
          <w:rFonts w:hint="eastAsia" w:ascii="仿宋_GB2312" w:eastAsia="仿宋_GB2312"/>
          <w:bCs/>
          <w:sz w:val="32"/>
          <w:szCs w:val="32"/>
        </w:rPr>
        <w:t>迎接了集团公司过硬党支部验收，被评为第四批过硬党支部示范点。</w:t>
      </w:r>
    </w:p>
    <w:p>
      <w:pPr>
        <w:autoSpaceDE w:val="0"/>
        <w:autoSpaceDN w:val="0"/>
        <w:adjustRightInd w:val="0"/>
        <w:snapToGrid w:val="0"/>
        <w:spacing w:line="560" w:lineRule="exact"/>
        <w:ind w:right="13" w:rightChars="6" w:firstLine="640" w:firstLineChars="200"/>
        <w:rPr>
          <w:rFonts w:ascii="黑体" w:hAnsi="黑体" w:eastAsia="黑体"/>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是我们公司开启高质量发展新征程至关重要的一年。公司董事将进一步完善公司治理结构，推进依法治企、规范决策，密切董事与公司经营管理之间的联系，提升董事在公司经营中的参与度，融洽董事之间和董事与股东方之间的关系，进一步增强董事会的团结，提高决策效率，为公司经营发展提供决策支持。</w:t>
      </w:r>
    </w:p>
    <w:p>
      <w:pPr>
        <w:autoSpaceDE w:val="0"/>
        <w:autoSpaceDN w:val="0"/>
        <w:adjustRightInd w:val="0"/>
        <w:snapToGrid w:val="0"/>
        <w:spacing w:line="560" w:lineRule="exact"/>
        <w:ind w:right="13" w:rightChars="6" w:firstLine="640" w:firstLineChars="200"/>
        <w:rPr>
          <w:rFonts w:ascii="仿宋_GB2312" w:hAnsi="宋体" w:eastAsia="黑体"/>
          <w:color w:val="0000FF"/>
          <w:kern w:val="0"/>
          <w:sz w:val="32"/>
          <w:szCs w:val="32"/>
        </w:rPr>
      </w:pPr>
      <w:r>
        <w:rPr>
          <w:rFonts w:hint="eastAsia" w:ascii="黑体" w:hAnsi="黑体" w:eastAsia="黑体" w:cs="黑体"/>
          <w:color w:val="000000"/>
          <w:kern w:val="0"/>
          <w:sz w:val="32"/>
          <w:szCs w:val="32"/>
        </w:rPr>
        <w:t>四、年度审计报告摘要</w:t>
      </w:r>
    </w:p>
    <w:p>
      <w:pPr>
        <w:widowControl/>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我公司202</w:t>
      </w:r>
      <w:r>
        <w:rPr>
          <w:rFonts w:hint="eastAsia" w:ascii="仿宋_GB2312" w:hAnsi="仿宋_GB2312" w:eastAsia="仿宋_GB2312" w:cs="仿宋_GB2312"/>
          <w:color w:val="000000"/>
          <w:kern w:val="0"/>
          <w:sz w:val="32"/>
          <w:szCs w:val="32"/>
          <w:lang w:val="en-US" w:eastAsia="zh-CN" w:bidi="ar"/>
        </w:rPr>
        <w:t>3</w:t>
      </w:r>
      <w:r>
        <w:rPr>
          <w:rFonts w:hint="eastAsia" w:ascii="仿宋_GB2312" w:hAnsi="仿宋_GB2312" w:eastAsia="仿宋_GB2312" w:cs="仿宋_GB2312"/>
          <w:color w:val="000000"/>
          <w:kern w:val="0"/>
          <w:sz w:val="32"/>
          <w:szCs w:val="32"/>
          <w:lang w:bidi="ar"/>
        </w:rPr>
        <w:t xml:space="preserve">年度财务数据经天职国际会计师事务所（特殊普通合伙）审计，出具无保留意见审计报告，审计报告摘要如下： </w:t>
      </w:r>
    </w:p>
    <w:p>
      <w:pPr>
        <w:widowControl/>
        <w:spacing w:line="560" w:lineRule="exact"/>
        <w:ind w:firstLine="640" w:firstLineChars="200"/>
        <w:jc w:val="left"/>
        <w:rPr>
          <w:rFonts w:ascii="楷体_GB2312" w:hAnsi="楷体_GB2312" w:eastAsia="楷体_GB2312" w:cs="楷体_GB2312"/>
          <w:sz w:val="32"/>
          <w:szCs w:val="32"/>
        </w:rPr>
      </w:pPr>
      <w:r>
        <w:rPr>
          <w:rFonts w:hint="eastAsia" w:ascii="楷体_GB2312" w:hAnsi="楷体_GB2312" w:eastAsia="楷体_GB2312" w:cs="楷体_GB2312"/>
          <w:color w:val="000000"/>
          <w:kern w:val="0"/>
          <w:sz w:val="32"/>
          <w:szCs w:val="32"/>
          <w:lang w:bidi="ar"/>
        </w:rPr>
        <w:t xml:space="preserve">（一）审计意见 </w:t>
      </w:r>
    </w:p>
    <w:p>
      <w:pPr>
        <w:widowControl/>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我们审计了枣临铁路有限责任公司财务报表，包括202</w:t>
      </w:r>
      <w:r>
        <w:rPr>
          <w:rFonts w:hint="eastAsia" w:ascii="仿宋_GB2312" w:hAnsi="仿宋_GB2312" w:eastAsia="仿宋_GB2312" w:cs="仿宋_GB2312"/>
          <w:color w:val="000000"/>
          <w:kern w:val="0"/>
          <w:sz w:val="32"/>
          <w:szCs w:val="32"/>
          <w:lang w:val="en-US" w:eastAsia="zh-CN" w:bidi="ar"/>
        </w:rPr>
        <w:t>3</w:t>
      </w:r>
      <w:r>
        <w:rPr>
          <w:rFonts w:hint="eastAsia" w:ascii="仿宋_GB2312" w:hAnsi="仿宋_GB2312" w:eastAsia="仿宋_GB2312" w:cs="仿宋_GB2312"/>
          <w:color w:val="000000"/>
          <w:kern w:val="0"/>
          <w:sz w:val="32"/>
          <w:szCs w:val="32"/>
          <w:lang w:bidi="ar"/>
        </w:rPr>
        <w:t>年12月31日的资产负债表，202</w:t>
      </w:r>
      <w:r>
        <w:rPr>
          <w:rFonts w:hint="eastAsia" w:ascii="仿宋_GB2312" w:hAnsi="仿宋_GB2312" w:eastAsia="仿宋_GB2312" w:cs="仿宋_GB2312"/>
          <w:color w:val="000000"/>
          <w:kern w:val="0"/>
          <w:sz w:val="32"/>
          <w:szCs w:val="32"/>
          <w:lang w:val="en-US" w:eastAsia="zh-CN" w:bidi="ar"/>
        </w:rPr>
        <w:t>3</w:t>
      </w:r>
      <w:r>
        <w:rPr>
          <w:rFonts w:hint="eastAsia" w:ascii="仿宋_GB2312" w:hAnsi="仿宋_GB2312" w:eastAsia="仿宋_GB2312" w:cs="仿宋_GB2312"/>
          <w:color w:val="000000"/>
          <w:kern w:val="0"/>
          <w:sz w:val="32"/>
          <w:szCs w:val="32"/>
          <w:lang w:bidi="ar"/>
        </w:rPr>
        <w:t xml:space="preserve">年度的利润表、现金流量表、所有者权益变动表以及相关财务报表附注。 </w:t>
      </w:r>
    </w:p>
    <w:p>
      <w:pPr>
        <w:widowControl/>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我们认为，后附的财务报表在所有重大方面按照企业会计准则的规定编制，公允反映了枣临公司202</w:t>
      </w:r>
      <w:r>
        <w:rPr>
          <w:rFonts w:hint="eastAsia" w:ascii="仿宋_GB2312" w:hAnsi="仿宋_GB2312" w:eastAsia="仿宋_GB2312" w:cs="仿宋_GB2312"/>
          <w:color w:val="000000"/>
          <w:kern w:val="0"/>
          <w:sz w:val="32"/>
          <w:szCs w:val="32"/>
          <w:lang w:val="en-US" w:eastAsia="zh-CN" w:bidi="ar"/>
        </w:rPr>
        <w:t>3</w:t>
      </w:r>
      <w:r>
        <w:rPr>
          <w:rFonts w:hint="eastAsia" w:ascii="仿宋_GB2312" w:hAnsi="仿宋_GB2312" w:eastAsia="仿宋_GB2312" w:cs="仿宋_GB2312"/>
          <w:color w:val="000000"/>
          <w:kern w:val="0"/>
          <w:sz w:val="32"/>
          <w:szCs w:val="32"/>
          <w:lang w:bidi="ar"/>
        </w:rPr>
        <w:t>年12月31日的财务状况以及202</w:t>
      </w:r>
      <w:r>
        <w:rPr>
          <w:rFonts w:hint="eastAsia" w:ascii="仿宋_GB2312" w:hAnsi="仿宋_GB2312" w:eastAsia="仿宋_GB2312" w:cs="仿宋_GB2312"/>
          <w:color w:val="000000"/>
          <w:kern w:val="0"/>
          <w:sz w:val="32"/>
          <w:szCs w:val="32"/>
          <w:lang w:val="en-US" w:eastAsia="zh-CN" w:bidi="ar"/>
        </w:rPr>
        <w:t>3</w:t>
      </w:r>
      <w:r>
        <w:rPr>
          <w:rFonts w:hint="eastAsia" w:ascii="仿宋_GB2312" w:hAnsi="仿宋_GB2312" w:eastAsia="仿宋_GB2312" w:cs="仿宋_GB2312"/>
          <w:color w:val="000000"/>
          <w:kern w:val="0"/>
          <w:sz w:val="32"/>
          <w:szCs w:val="32"/>
          <w:lang w:bidi="ar"/>
        </w:rPr>
        <w:t xml:space="preserve">年度的经营成果和现金流量。 </w:t>
      </w:r>
    </w:p>
    <w:p>
      <w:pPr>
        <w:widowControl/>
        <w:spacing w:line="560" w:lineRule="exact"/>
        <w:ind w:firstLine="640" w:firstLineChars="200"/>
        <w:jc w:val="left"/>
        <w:rPr>
          <w:rFonts w:ascii="楷体_GB2312" w:hAnsi="楷体_GB2312" w:eastAsia="楷体_GB2312" w:cs="楷体_GB2312"/>
          <w:sz w:val="32"/>
          <w:szCs w:val="32"/>
        </w:rPr>
      </w:pPr>
      <w:r>
        <w:rPr>
          <w:rFonts w:hint="eastAsia" w:ascii="楷体_GB2312" w:hAnsi="楷体_GB2312" w:eastAsia="楷体_GB2312" w:cs="楷体_GB2312"/>
          <w:color w:val="000000"/>
          <w:kern w:val="0"/>
          <w:sz w:val="32"/>
          <w:szCs w:val="32"/>
          <w:lang w:bidi="ar"/>
        </w:rPr>
        <w:t xml:space="preserve">（二）形成审计意见的基础 </w:t>
      </w:r>
    </w:p>
    <w:p>
      <w:pPr>
        <w:widowControl/>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我们按照中国注册会计师审计准则的规定执行了审计工作。审计报告的“注册会计师对财务报表审计的责任”部分进一步阐述了我们在这些准则下的责任。按照中国注册会计师职业道德守则，我们独立于枣临公司，并履行了职业道德方面的其他责任。我们相信，我们获取的审计证据是充分、适当的，为发表审计意见提供了基础。</w:t>
      </w:r>
    </w:p>
    <w:p>
      <w:pPr>
        <w:autoSpaceDE w:val="0"/>
        <w:autoSpaceDN w:val="0"/>
        <w:adjustRightInd w:val="0"/>
        <w:snapToGrid w:val="0"/>
        <w:spacing w:line="560" w:lineRule="exact"/>
        <w:ind w:right="13" w:rightChars="6" w:firstLine="640" w:firstLineChars="200"/>
        <w:rPr>
          <w:rFonts w:ascii="黑体" w:hAnsi="黑体" w:eastAsia="黑体"/>
          <w:sz w:val="32"/>
          <w:szCs w:val="32"/>
        </w:rPr>
      </w:pPr>
      <w:r>
        <w:rPr>
          <w:rFonts w:hint="eastAsia" w:ascii="黑体" w:hAnsi="黑体" w:eastAsia="黑体"/>
          <w:sz w:val="32"/>
          <w:szCs w:val="32"/>
        </w:rPr>
        <w:t>五</w:t>
      </w:r>
      <w:r>
        <w:rPr>
          <w:rFonts w:ascii="黑体" w:hAnsi="黑体" w:eastAsia="黑体"/>
          <w:sz w:val="32"/>
          <w:szCs w:val="32"/>
        </w:rPr>
        <w:t xml:space="preserve">、“三重一大”有关事项 </w:t>
      </w:r>
    </w:p>
    <w:p>
      <w:pPr>
        <w:autoSpaceDE w:val="0"/>
        <w:autoSpaceDN w:val="0"/>
        <w:adjustRightInd w:val="0"/>
        <w:snapToGrid w:val="0"/>
        <w:spacing w:line="560" w:lineRule="exact"/>
        <w:ind w:right="13" w:rightChars="6" w:firstLine="640" w:firstLineChars="200"/>
        <w:rPr>
          <w:rFonts w:ascii="楷体" w:hAnsi="楷体" w:eastAsia="楷体"/>
          <w:sz w:val="32"/>
          <w:szCs w:val="32"/>
        </w:rPr>
      </w:pPr>
      <w:r>
        <w:rPr>
          <w:rFonts w:ascii="楷体" w:hAnsi="楷体" w:eastAsia="楷体"/>
          <w:sz w:val="32"/>
          <w:szCs w:val="32"/>
        </w:rPr>
        <w:t xml:space="preserve">（一）有关重大决策 </w:t>
      </w:r>
    </w:p>
    <w:p>
      <w:pPr>
        <w:autoSpaceDE w:val="0"/>
        <w:autoSpaceDN w:val="0"/>
        <w:adjustRightInd w:val="0"/>
        <w:snapToGrid w:val="0"/>
        <w:spacing w:line="560" w:lineRule="exact"/>
        <w:ind w:right="13" w:rightChars="6" w:firstLine="640" w:firstLineChars="200"/>
        <w:rPr>
          <w:rFonts w:ascii="楷体" w:hAnsi="楷体" w:eastAsia="楷体"/>
          <w:sz w:val="32"/>
          <w:szCs w:val="32"/>
        </w:rPr>
      </w:pPr>
      <w:r>
        <w:rPr>
          <w:rFonts w:hint="eastAsia" w:ascii="仿宋_GB2312" w:hAnsi="仿宋_GB2312" w:eastAsia="仿宋_GB2312" w:cs="仿宋_GB2312"/>
          <w:bCs/>
          <w:sz w:val="32"/>
          <w:szCs w:val="32"/>
        </w:rPr>
        <w:t>年内顺利召开了枣临公司202</w:t>
      </w:r>
      <w:r>
        <w:rPr>
          <w:rFonts w:hint="eastAsia" w:ascii="仿宋_GB2312" w:hAnsi="仿宋_GB2312" w:eastAsia="仿宋_GB2312" w:cs="仿宋_GB2312"/>
          <w:bCs/>
          <w:sz w:val="32"/>
          <w:szCs w:val="32"/>
          <w:lang w:val="en-US" w:eastAsia="zh-CN"/>
        </w:rPr>
        <w:t>2</w:t>
      </w:r>
      <w:r>
        <w:rPr>
          <w:rFonts w:hint="eastAsia" w:ascii="仿宋_GB2312" w:hAnsi="仿宋_GB2312" w:eastAsia="仿宋_GB2312" w:cs="仿宋_GB2312"/>
          <w:bCs/>
          <w:sz w:val="32"/>
          <w:szCs w:val="32"/>
        </w:rPr>
        <w:t>年度“三会”，年度会议议案均顺利通过，形成决议。根据重点工作实际，组织召开了</w:t>
      </w:r>
      <w:r>
        <w:rPr>
          <w:rFonts w:hint="eastAsia" w:ascii="仿宋_GB2312" w:hAnsi="仿宋_GB2312" w:eastAsia="仿宋_GB2312" w:cs="仿宋_GB2312"/>
          <w:bCs/>
          <w:sz w:val="32"/>
          <w:szCs w:val="32"/>
          <w:lang w:val="en-US" w:eastAsia="zh-CN"/>
        </w:rPr>
        <w:t>二</w:t>
      </w:r>
      <w:r>
        <w:rPr>
          <w:rFonts w:hint="eastAsia" w:ascii="仿宋_GB2312" w:hAnsi="仿宋_GB2312" w:eastAsia="仿宋_GB2312" w:cs="仿宋_GB2312"/>
          <w:bCs/>
          <w:sz w:val="32"/>
          <w:szCs w:val="32"/>
        </w:rPr>
        <w:t>次枣临公司202</w:t>
      </w:r>
      <w:r>
        <w:rPr>
          <w:rFonts w:hint="eastAsia" w:ascii="仿宋_GB2312" w:hAnsi="仿宋_GB2312" w:eastAsia="仿宋_GB2312" w:cs="仿宋_GB2312"/>
          <w:bCs/>
          <w:sz w:val="32"/>
          <w:szCs w:val="32"/>
          <w:lang w:val="en-US" w:eastAsia="zh-CN"/>
        </w:rPr>
        <w:t>3</w:t>
      </w:r>
      <w:r>
        <w:rPr>
          <w:rFonts w:hint="eastAsia" w:ascii="仿宋_GB2312" w:hAnsi="仿宋_GB2312" w:eastAsia="仿宋_GB2312" w:cs="仿宋_GB2312"/>
          <w:bCs/>
          <w:sz w:val="32"/>
          <w:szCs w:val="32"/>
        </w:rPr>
        <w:t>年临时股东会、董事会，审议通过了枣临公司的202</w:t>
      </w:r>
      <w:r>
        <w:rPr>
          <w:rFonts w:hint="eastAsia" w:ascii="仿宋_GB2312" w:hAnsi="仿宋_GB2312" w:eastAsia="仿宋_GB2312" w:cs="仿宋_GB2312"/>
          <w:bCs/>
          <w:sz w:val="32"/>
          <w:szCs w:val="32"/>
          <w:lang w:val="en-US" w:eastAsia="zh-CN"/>
        </w:rPr>
        <w:t>3</w:t>
      </w:r>
      <w:r>
        <w:rPr>
          <w:rFonts w:hint="eastAsia" w:ascii="仿宋_GB2312" w:hAnsi="仿宋_GB2312" w:eastAsia="仿宋_GB2312" w:cs="仿宋_GB2312"/>
          <w:bCs/>
          <w:sz w:val="32"/>
          <w:szCs w:val="32"/>
        </w:rPr>
        <w:t>年大修技改投资计划、</w:t>
      </w:r>
      <w:r>
        <w:rPr>
          <w:rFonts w:hint="eastAsia" w:ascii="仿宋_GB2312" w:eastAsia="仿宋_GB2312"/>
          <w:bCs/>
          <w:sz w:val="32"/>
          <w:szCs w:val="32"/>
        </w:rPr>
        <w:t>研究解决枣临铁路K2+947桥下排水问题等议案，</w:t>
      </w:r>
      <w:r>
        <w:rPr>
          <w:rFonts w:hint="eastAsia" w:ascii="仿宋_GB2312" w:hAnsi="仿宋_GB2312" w:eastAsia="仿宋_GB2312" w:cs="仿宋_GB2312"/>
          <w:bCs/>
          <w:sz w:val="32"/>
          <w:szCs w:val="32"/>
        </w:rPr>
        <w:t>确保相关经营工作及时推进。</w:t>
      </w:r>
    </w:p>
    <w:p>
      <w:pPr>
        <w:autoSpaceDE w:val="0"/>
        <w:autoSpaceDN w:val="0"/>
        <w:adjustRightInd w:val="0"/>
        <w:snapToGrid w:val="0"/>
        <w:spacing w:line="560" w:lineRule="exact"/>
        <w:ind w:right="13" w:rightChars="6" w:firstLine="640" w:firstLineChars="200"/>
        <w:rPr>
          <w:rFonts w:ascii="楷体" w:hAnsi="楷体" w:eastAsia="楷体"/>
          <w:sz w:val="32"/>
          <w:szCs w:val="32"/>
        </w:rPr>
      </w:pPr>
      <w:r>
        <w:rPr>
          <w:rFonts w:ascii="楷体" w:hAnsi="楷体" w:eastAsia="楷体"/>
          <w:sz w:val="32"/>
          <w:szCs w:val="32"/>
        </w:rPr>
        <w:t xml:space="preserve">（二）有关重大人事任免 </w:t>
      </w:r>
    </w:p>
    <w:p>
      <w:pPr>
        <w:autoSpaceDE w:val="0"/>
        <w:autoSpaceDN w:val="0"/>
        <w:adjustRightInd w:val="0"/>
        <w:snapToGrid w:val="0"/>
        <w:spacing w:line="560" w:lineRule="exact"/>
        <w:ind w:right="13" w:rightChars="6" w:firstLine="640" w:firstLineChars="200"/>
        <w:rPr>
          <w:rFonts w:ascii="楷体" w:hAnsi="楷体" w:eastAsia="楷体"/>
          <w:sz w:val="32"/>
          <w:szCs w:val="32"/>
        </w:rPr>
      </w:pPr>
      <w:r>
        <w:rPr>
          <w:rFonts w:ascii="楷体" w:hAnsi="楷体" w:eastAsia="楷体"/>
          <w:sz w:val="32"/>
          <w:szCs w:val="32"/>
        </w:rPr>
        <w:t xml:space="preserve">无。 </w:t>
      </w:r>
    </w:p>
    <w:p>
      <w:pPr>
        <w:autoSpaceDE w:val="0"/>
        <w:autoSpaceDN w:val="0"/>
        <w:adjustRightInd w:val="0"/>
        <w:snapToGrid w:val="0"/>
        <w:spacing w:line="560" w:lineRule="exact"/>
        <w:ind w:right="13" w:rightChars="6" w:firstLine="640" w:firstLineChars="200"/>
        <w:rPr>
          <w:rFonts w:ascii="楷体" w:hAnsi="楷体" w:eastAsia="楷体"/>
          <w:sz w:val="32"/>
          <w:szCs w:val="32"/>
        </w:rPr>
      </w:pPr>
      <w:r>
        <w:rPr>
          <w:rFonts w:ascii="楷体" w:hAnsi="楷体" w:eastAsia="楷体"/>
          <w:sz w:val="32"/>
          <w:szCs w:val="32"/>
        </w:rPr>
        <w:t>（三）有关重大项目投资及境外投资情况</w:t>
      </w:r>
    </w:p>
    <w:p>
      <w:pPr>
        <w:autoSpaceDE w:val="0"/>
        <w:autoSpaceDN w:val="0"/>
        <w:adjustRightInd w:val="0"/>
        <w:snapToGrid w:val="0"/>
        <w:spacing w:line="560" w:lineRule="exact"/>
        <w:ind w:right="13" w:rightChars="6"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根据委托运输管理受托方济南局集团有限公司提报有关枣临铁路有限责任公司2023年运输设施设备更新改造计划建议，结合公司实际情况，2023年度公司</w:t>
      </w:r>
      <w:bookmarkStart w:id="3" w:name="_GoBack"/>
      <w:bookmarkEnd w:id="3"/>
      <w:r>
        <w:rPr>
          <w:rFonts w:hint="eastAsia" w:ascii="仿宋_GB2312" w:hAnsi="仿宋_GB2312" w:eastAsia="仿宋_GB2312" w:cs="仿宋_GB2312"/>
          <w:sz w:val="32"/>
          <w:szCs w:val="32"/>
        </w:rPr>
        <w:t>安排运输设施设备更新改造项目8项，估算投资金额总计359.55万元。</w:t>
      </w:r>
    </w:p>
    <w:p>
      <w:pPr>
        <w:autoSpaceDE w:val="0"/>
        <w:autoSpaceDN w:val="0"/>
        <w:adjustRightInd w:val="0"/>
        <w:snapToGrid w:val="0"/>
        <w:spacing w:line="560" w:lineRule="exact"/>
        <w:ind w:right="13" w:rightChars="6" w:firstLine="640" w:firstLineChars="200"/>
        <w:rPr>
          <w:rFonts w:ascii="楷体" w:hAnsi="楷体" w:eastAsia="楷体"/>
          <w:sz w:val="32"/>
          <w:szCs w:val="32"/>
        </w:rPr>
      </w:pPr>
      <w:r>
        <w:rPr>
          <w:rFonts w:ascii="楷体" w:hAnsi="楷体" w:eastAsia="楷体"/>
          <w:sz w:val="32"/>
          <w:szCs w:val="32"/>
        </w:rPr>
        <w:t xml:space="preserve">（四）大额资金的调动及使用情况 </w:t>
      </w:r>
    </w:p>
    <w:p>
      <w:pPr>
        <w:autoSpaceDE w:val="0"/>
        <w:autoSpaceDN w:val="0"/>
        <w:adjustRightInd w:val="0"/>
        <w:snapToGrid w:val="0"/>
        <w:spacing w:line="560" w:lineRule="exact"/>
        <w:ind w:right="13" w:rightChars="6"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 xml:space="preserve">年大额资金的调动和使用均符合国资监管及公司相关 制度规定。 </w:t>
      </w:r>
    </w:p>
    <w:p>
      <w:pPr>
        <w:autoSpaceDE w:val="0"/>
        <w:autoSpaceDN w:val="0"/>
        <w:adjustRightInd w:val="0"/>
        <w:snapToGrid w:val="0"/>
        <w:spacing w:line="560" w:lineRule="exact"/>
        <w:ind w:right="13" w:rightChars="6" w:firstLine="640" w:firstLineChars="200"/>
        <w:rPr>
          <w:rFonts w:ascii="楷体" w:hAnsi="楷体" w:eastAsia="楷体"/>
          <w:sz w:val="32"/>
          <w:szCs w:val="32"/>
        </w:rPr>
      </w:pPr>
      <w:r>
        <w:rPr>
          <w:rFonts w:ascii="楷体" w:hAnsi="楷体" w:eastAsia="楷体"/>
          <w:sz w:val="32"/>
          <w:szCs w:val="32"/>
        </w:rPr>
        <w:t xml:space="preserve">（五）国有资产保值增值情况 </w:t>
      </w:r>
    </w:p>
    <w:p>
      <w:pPr>
        <w:autoSpaceDE w:val="0"/>
        <w:autoSpaceDN w:val="0"/>
        <w:adjustRightInd w:val="0"/>
        <w:snapToGrid w:val="0"/>
        <w:spacing w:line="560" w:lineRule="exact"/>
        <w:ind w:right="13" w:rightChars="6" w:firstLine="640" w:firstLineChars="200"/>
        <w:rPr>
          <w:rFonts w:ascii="楷体" w:hAnsi="楷体" w:eastAsia="楷体"/>
          <w:sz w:val="32"/>
          <w:szCs w:val="32"/>
        </w:rPr>
      </w:pPr>
      <w:r>
        <w:rPr>
          <w:rFonts w:hint="eastAsia" w:ascii="仿宋_GB2312" w:hAnsi="仿宋_GB2312" w:eastAsia="仿宋_GB2312" w:cs="仿宋_GB2312"/>
          <w:sz w:val="32"/>
          <w:szCs w:val="32"/>
        </w:rPr>
        <w:t>持续加强国有资产经营管理，提质增效，实现国有资产保值增值。</w:t>
      </w:r>
    </w:p>
    <w:p>
      <w:pPr>
        <w:autoSpaceDE w:val="0"/>
        <w:autoSpaceDN w:val="0"/>
        <w:adjustRightInd w:val="0"/>
        <w:snapToGrid w:val="0"/>
        <w:spacing w:line="560" w:lineRule="exact"/>
        <w:ind w:right="13" w:rightChars="6" w:firstLine="640" w:firstLineChars="200"/>
        <w:rPr>
          <w:rFonts w:ascii="楷体" w:hAnsi="楷体" w:eastAsia="楷体"/>
          <w:sz w:val="32"/>
          <w:szCs w:val="32"/>
        </w:rPr>
      </w:pPr>
      <w:r>
        <w:rPr>
          <w:rFonts w:ascii="楷体" w:hAnsi="楷体" w:eastAsia="楷体"/>
          <w:sz w:val="32"/>
          <w:szCs w:val="32"/>
        </w:rPr>
        <w:t xml:space="preserve">（六）企业重大改制重组 </w:t>
      </w:r>
    </w:p>
    <w:p>
      <w:pPr>
        <w:autoSpaceDE w:val="0"/>
        <w:autoSpaceDN w:val="0"/>
        <w:adjustRightInd w:val="0"/>
        <w:snapToGrid w:val="0"/>
        <w:spacing w:line="560" w:lineRule="exact"/>
        <w:ind w:right="13" w:rightChars="6" w:firstLine="640" w:firstLineChars="200"/>
        <w:rPr>
          <w:rFonts w:ascii="楷体" w:hAnsi="楷体" w:eastAsia="楷体"/>
          <w:sz w:val="32"/>
          <w:szCs w:val="32"/>
        </w:rPr>
      </w:pPr>
      <w:r>
        <w:rPr>
          <w:rFonts w:ascii="楷体" w:hAnsi="楷体" w:eastAsia="楷体"/>
          <w:sz w:val="32"/>
          <w:szCs w:val="32"/>
        </w:rPr>
        <w:t xml:space="preserve">无。 </w:t>
      </w:r>
    </w:p>
    <w:p>
      <w:pPr>
        <w:autoSpaceDE w:val="0"/>
        <w:autoSpaceDN w:val="0"/>
        <w:adjustRightInd w:val="0"/>
        <w:snapToGrid w:val="0"/>
        <w:spacing w:line="560" w:lineRule="exact"/>
        <w:ind w:right="13" w:rightChars="6" w:firstLine="640" w:firstLineChars="200"/>
        <w:rPr>
          <w:rFonts w:ascii="楷体" w:hAnsi="楷体" w:eastAsia="楷体"/>
          <w:sz w:val="32"/>
          <w:szCs w:val="32"/>
        </w:rPr>
      </w:pPr>
      <w:r>
        <w:rPr>
          <w:rFonts w:ascii="楷体" w:hAnsi="楷体" w:eastAsia="楷体"/>
          <w:sz w:val="32"/>
          <w:szCs w:val="32"/>
        </w:rPr>
        <w:t xml:space="preserve">（七）通过产权市场转让企业产权和企业增资等信息 </w:t>
      </w:r>
    </w:p>
    <w:p>
      <w:pPr>
        <w:autoSpaceDE w:val="0"/>
        <w:autoSpaceDN w:val="0"/>
        <w:adjustRightInd w:val="0"/>
        <w:snapToGrid w:val="0"/>
        <w:spacing w:line="560" w:lineRule="exact"/>
        <w:ind w:right="13" w:rightChars="6" w:firstLine="640" w:firstLineChars="200"/>
        <w:rPr>
          <w:rFonts w:ascii="楷体" w:hAnsi="楷体" w:eastAsia="楷体"/>
          <w:sz w:val="32"/>
          <w:szCs w:val="32"/>
        </w:rPr>
      </w:pPr>
      <w:r>
        <w:rPr>
          <w:rFonts w:ascii="楷体" w:hAnsi="楷体" w:eastAsia="楷体"/>
          <w:sz w:val="32"/>
          <w:szCs w:val="32"/>
        </w:rPr>
        <w:t xml:space="preserve">无。 </w:t>
      </w:r>
    </w:p>
    <w:p>
      <w:pPr>
        <w:autoSpaceDE w:val="0"/>
        <w:autoSpaceDN w:val="0"/>
        <w:adjustRightInd w:val="0"/>
        <w:snapToGrid w:val="0"/>
        <w:spacing w:line="560" w:lineRule="exact"/>
        <w:ind w:right="13" w:rightChars="6" w:firstLine="640" w:firstLineChars="200"/>
        <w:rPr>
          <w:rFonts w:ascii="楷体" w:hAnsi="楷体" w:eastAsia="楷体"/>
          <w:sz w:val="32"/>
          <w:szCs w:val="32"/>
        </w:rPr>
      </w:pPr>
      <w:r>
        <w:rPr>
          <w:rFonts w:ascii="楷体" w:hAnsi="楷体" w:eastAsia="楷体"/>
          <w:sz w:val="32"/>
          <w:szCs w:val="32"/>
        </w:rPr>
        <w:t xml:space="preserve">（八）有关部门依法要求公开的监督检查问题整改情况 </w:t>
      </w:r>
    </w:p>
    <w:p>
      <w:pPr>
        <w:autoSpaceDE w:val="0"/>
        <w:autoSpaceDN w:val="0"/>
        <w:adjustRightInd w:val="0"/>
        <w:snapToGrid w:val="0"/>
        <w:spacing w:line="560" w:lineRule="exact"/>
        <w:ind w:right="13" w:rightChars="6" w:firstLine="640" w:firstLineChars="200"/>
        <w:rPr>
          <w:rFonts w:ascii="楷体" w:hAnsi="楷体" w:eastAsia="楷体"/>
          <w:sz w:val="32"/>
          <w:szCs w:val="32"/>
        </w:rPr>
      </w:pPr>
      <w:r>
        <w:rPr>
          <w:rFonts w:ascii="楷体" w:hAnsi="楷体" w:eastAsia="楷体"/>
          <w:sz w:val="32"/>
          <w:szCs w:val="32"/>
        </w:rPr>
        <w:t xml:space="preserve">无。 </w:t>
      </w:r>
    </w:p>
    <w:p>
      <w:pPr>
        <w:autoSpaceDE w:val="0"/>
        <w:autoSpaceDN w:val="0"/>
        <w:adjustRightInd w:val="0"/>
        <w:snapToGrid w:val="0"/>
        <w:spacing w:line="560" w:lineRule="exact"/>
        <w:ind w:right="13" w:rightChars="6" w:firstLine="640" w:firstLineChars="200"/>
        <w:rPr>
          <w:rFonts w:ascii="楷体" w:hAnsi="楷体" w:eastAsia="楷体"/>
          <w:sz w:val="32"/>
          <w:szCs w:val="32"/>
        </w:rPr>
      </w:pPr>
      <w:r>
        <w:rPr>
          <w:rFonts w:ascii="楷体" w:hAnsi="楷体" w:eastAsia="楷体"/>
          <w:sz w:val="32"/>
          <w:szCs w:val="32"/>
        </w:rPr>
        <w:t xml:space="preserve">（九）重大突发事件事态发展和应急处置情况 </w:t>
      </w:r>
    </w:p>
    <w:p>
      <w:pPr>
        <w:autoSpaceDE w:val="0"/>
        <w:autoSpaceDN w:val="0"/>
        <w:adjustRightInd w:val="0"/>
        <w:snapToGrid w:val="0"/>
        <w:spacing w:line="560" w:lineRule="exact"/>
        <w:ind w:right="13" w:rightChars="6" w:firstLine="640" w:firstLineChars="200"/>
        <w:rPr>
          <w:rFonts w:ascii="楷体" w:hAnsi="楷体" w:eastAsia="楷体" w:cs="仿宋_GB2312"/>
          <w:sz w:val="32"/>
          <w:szCs w:val="32"/>
        </w:rPr>
      </w:pPr>
      <w:r>
        <w:rPr>
          <w:rFonts w:ascii="楷体" w:hAnsi="楷体" w:eastAsia="楷体"/>
          <w:sz w:val="32"/>
          <w:szCs w:val="32"/>
        </w:rPr>
        <w:t>无。</w:t>
      </w:r>
    </w:p>
    <w:p>
      <w:pPr>
        <w:spacing w:line="560" w:lineRule="exact"/>
        <w:ind w:firstLine="640" w:firstLineChars="200"/>
        <w:rPr>
          <w:rFonts w:ascii="黑体" w:hAnsi="黑体" w:eastAsia="黑体"/>
          <w:sz w:val="32"/>
          <w:szCs w:val="32"/>
        </w:rPr>
      </w:pPr>
      <w:r>
        <w:rPr>
          <w:rFonts w:hint="eastAsia" w:ascii="仿宋_GB2312" w:hAnsi="仿宋_GB2312" w:eastAsia="仿宋_GB2312" w:cs="仿宋_GB2312"/>
          <w:sz w:val="32"/>
          <w:szCs w:val="32"/>
        </w:rPr>
        <w:t> </w:t>
      </w:r>
      <w:bookmarkEnd w:id="0"/>
      <w:bookmarkEnd w:id="1"/>
      <w:bookmarkEnd w:id="2"/>
      <w:r>
        <w:rPr>
          <w:rFonts w:hint="eastAsia" w:ascii="黑体" w:hAnsi="黑体" w:eastAsia="黑体" w:cs="黑体"/>
          <w:sz w:val="32"/>
          <w:szCs w:val="32"/>
        </w:rPr>
        <w:t>六</w:t>
      </w:r>
      <w:r>
        <w:rPr>
          <w:rFonts w:ascii="黑体" w:hAnsi="黑体" w:eastAsia="黑体"/>
          <w:sz w:val="32"/>
          <w:szCs w:val="32"/>
        </w:rPr>
        <w:t xml:space="preserve">、社会责任的履行 </w:t>
      </w:r>
    </w:p>
    <w:p>
      <w:pPr>
        <w:autoSpaceDE w:val="0"/>
        <w:autoSpaceDN w:val="0"/>
        <w:adjustRightInd w:val="0"/>
        <w:snapToGrid w:val="0"/>
        <w:spacing w:line="560" w:lineRule="exact"/>
        <w:ind w:right="13" w:rightChars="6" w:firstLine="640" w:firstLineChars="200"/>
        <w:rPr>
          <w:rFonts w:ascii="楷体" w:hAnsi="楷体" w:eastAsia="楷体"/>
          <w:sz w:val="32"/>
          <w:szCs w:val="32"/>
        </w:rPr>
      </w:pPr>
      <w:r>
        <w:rPr>
          <w:rFonts w:ascii="楷体" w:hAnsi="楷体" w:eastAsia="楷体"/>
          <w:sz w:val="32"/>
          <w:szCs w:val="32"/>
        </w:rPr>
        <w:t xml:space="preserve">（一）职工劳动合同的签订、履行等劳动法律法规的遵守和 执行情况 </w:t>
      </w:r>
    </w:p>
    <w:p>
      <w:pPr>
        <w:autoSpaceDE w:val="0"/>
        <w:autoSpaceDN w:val="0"/>
        <w:adjustRightInd w:val="0"/>
        <w:snapToGrid w:val="0"/>
        <w:spacing w:line="560" w:lineRule="exact"/>
        <w:ind w:right="13" w:rightChars="6" w:firstLine="640" w:firstLineChars="200"/>
        <w:rPr>
          <w:rFonts w:ascii="仿宋_GB2312" w:hAnsi="仿宋" w:eastAsia="仿宋_GB2312" w:cs="仿宋"/>
          <w:sz w:val="32"/>
          <w:szCs w:val="32"/>
        </w:rPr>
      </w:pPr>
      <w:r>
        <w:rPr>
          <w:rFonts w:ascii="仿宋_GB2312" w:hAnsi="仿宋" w:eastAsia="仿宋_GB2312" w:cs="仿宋"/>
          <w:sz w:val="32"/>
          <w:szCs w:val="32"/>
        </w:rPr>
        <w:t>根据《山东铁路有限公司劳动合同管理办法（试行）》，严 格遵守和执行劳动法律法规，切实维护职工的合法权益，构建和 谐劳动关系。截至202</w:t>
      </w:r>
      <w:r>
        <w:rPr>
          <w:rFonts w:hint="eastAsia" w:ascii="仿宋_GB2312" w:hAnsi="仿宋" w:eastAsia="仿宋_GB2312" w:cs="仿宋"/>
          <w:sz w:val="32"/>
          <w:szCs w:val="32"/>
          <w:lang w:val="en-US" w:eastAsia="zh-CN"/>
        </w:rPr>
        <w:t>3</w:t>
      </w:r>
      <w:r>
        <w:rPr>
          <w:rFonts w:ascii="仿宋_GB2312" w:hAnsi="仿宋" w:eastAsia="仿宋_GB2312" w:cs="仿宋"/>
          <w:sz w:val="32"/>
          <w:szCs w:val="32"/>
        </w:rPr>
        <w:t xml:space="preserve">年底，职工劳动合同签订率为100%。全年 未发生一起劳动合同纠纷事件。 </w:t>
      </w:r>
    </w:p>
    <w:p>
      <w:pPr>
        <w:autoSpaceDE w:val="0"/>
        <w:autoSpaceDN w:val="0"/>
        <w:adjustRightInd w:val="0"/>
        <w:snapToGrid w:val="0"/>
        <w:spacing w:line="560" w:lineRule="exact"/>
        <w:ind w:right="13" w:rightChars="6" w:firstLine="640" w:firstLineChars="200"/>
        <w:rPr>
          <w:rFonts w:ascii="楷体" w:hAnsi="楷体" w:eastAsia="楷体"/>
          <w:sz w:val="32"/>
          <w:szCs w:val="32"/>
        </w:rPr>
      </w:pPr>
      <w:r>
        <w:rPr>
          <w:rFonts w:ascii="楷体" w:hAnsi="楷体" w:eastAsia="楷体"/>
          <w:sz w:val="32"/>
          <w:szCs w:val="32"/>
        </w:rPr>
        <w:t xml:space="preserve">（二）人才引进、职工招聘等情况 </w:t>
      </w:r>
    </w:p>
    <w:p>
      <w:pPr>
        <w:autoSpaceDE w:val="0"/>
        <w:autoSpaceDN w:val="0"/>
        <w:adjustRightInd w:val="0"/>
        <w:snapToGrid w:val="0"/>
        <w:spacing w:line="560" w:lineRule="exact"/>
        <w:ind w:right="13" w:rightChars="6" w:firstLine="640" w:firstLineChars="200"/>
        <w:rPr>
          <w:rFonts w:ascii="楷体" w:hAnsi="楷体" w:eastAsia="楷体"/>
          <w:sz w:val="32"/>
          <w:szCs w:val="32"/>
        </w:rPr>
      </w:pPr>
      <w:r>
        <w:rPr>
          <w:rFonts w:ascii="仿宋_GB2312" w:hAnsi="仿宋" w:eastAsia="仿宋_GB2312" w:cs="仿宋"/>
          <w:sz w:val="32"/>
          <w:szCs w:val="32"/>
        </w:rPr>
        <w:t>无。</w:t>
      </w:r>
      <w:r>
        <w:rPr>
          <w:rFonts w:ascii="楷体" w:hAnsi="楷体" w:eastAsia="楷体"/>
          <w:sz w:val="32"/>
          <w:szCs w:val="32"/>
        </w:rPr>
        <w:t xml:space="preserve"> </w:t>
      </w:r>
    </w:p>
    <w:p>
      <w:pPr>
        <w:autoSpaceDE w:val="0"/>
        <w:autoSpaceDN w:val="0"/>
        <w:adjustRightInd w:val="0"/>
        <w:snapToGrid w:val="0"/>
        <w:spacing w:line="560" w:lineRule="exact"/>
        <w:ind w:right="13" w:rightChars="6" w:firstLine="640" w:firstLineChars="200"/>
        <w:rPr>
          <w:rFonts w:ascii="楷体" w:hAnsi="楷体" w:eastAsia="楷体"/>
          <w:sz w:val="32"/>
          <w:szCs w:val="32"/>
        </w:rPr>
      </w:pPr>
      <w:r>
        <w:rPr>
          <w:rFonts w:ascii="楷体" w:hAnsi="楷体" w:eastAsia="楷体"/>
          <w:sz w:val="32"/>
          <w:szCs w:val="32"/>
        </w:rPr>
        <w:t xml:space="preserve">（三）职工劳动、安全及卫生保护情况 </w:t>
      </w:r>
    </w:p>
    <w:p>
      <w:pPr>
        <w:autoSpaceDE w:val="0"/>
        <w:autoSpaceDN w:val="0"/>
        <w:adjustRightInd w:val="0"/>
        <w:snapToGrid w:val="0"/>
        <w:spacing w:line="560" w:lineRule="exact"/>
        <w:ind w:right="13" w:rightChars="6" w:firstLine="640" w:firstLineChars="200"/>
        <w:rPr>
          <w:rFonts w:ascii="仿宋_GB2312" w:hAnsi="仿宋" w:eastAsia="仿宋_GB2312" w:cs="仿宋"/>
          <w:sz w:val="32"/>
          <w:szCs w:val="32"/>
        </w:rPr>
      </w:pPr>
      <w:r>
        <w:rPr>
          <w:rFonts w:ascii="仿宋_GB2312" w:hAnsi="仿宋" w:eastAsia="仿宋_GB2312" w:cs="仿宋"/>
          <w:sz w:val="32"/>
          <w:szCs w:val="32"/>
        </w:rPr>
        <w:t xml:space="preserve">公司严格按照劳动保护法及相关要求保障职工合法权益。改 善劳动条件，加强相关培训，为职工提供健康安全的工作环境。 </w:t>
      </w:r>
    </w:p>
    <w:p>
      <w:pPr>
        <w:autoSpaceDE w:val="0"/>
        <w:autoSpaceDN w:val="0"/>
        <w:adjustRightInd w:val="0"/>
        <w:snapToGrid w:val="0"/>
        <w:spacing w:line="560" w:lineRule="exact"/>
        <w:ind w:right="13" w:rightChars="6" w:firstLine="640" w:firstLineChars="200"/>
        <w:rPr>
          <w:rFonts w:ascii="楷体" w:hAnsi="楷体" w:eastAsia="楷体"/>
          <w:sz w:val="32"/>
          <w:szCs w:val="32"/>
        </w:rPr>
      </w:pPr>
      <w:r>
        <w:rPr>
          <w:rFonts w:ascii="楷体" w:hAnsi="楷体" w:eastAsia="楷体"/>
          <w:sz w:val="32"/>
          <w:szCs w:val="32"/>
        </w:rPr>
        <w:t xml:space="preserve">（四）开展环境治理及保护情况 </w:t>
      </w:r>
    </w:p>
    <w:p>
      <w:pPr>
        <w:autoSpaceDE w:val="0"/>
        <w:autoSpaceDN w:val="0"/>
        <w:adjustRightInd w:val="0"/>
        <w:snapToGrid w:val="0"/>
        <w:spacing w:line="560" w:lineRule="exact"/>
        <w:ind w:right="13" w:rightChars="6" w:firstLine="640" w:firstLineChars="200"/>
        <w:rPr>
          <w:rFonts w:ascii="仿宋_GB2312" w:hAnsi="仿宋" w:eastAsia="仿宋_GB2312" w:cs="仿宋"/>
          <w:sz w:val="32"/>
          <w:szCs w:val="32"/>
        </w:rPr>
      </w:pPr>
      <w:r>
        <w:rPr>
          <w:rFonts w:ascii="仿宋_GB2312" w:hAnsi="仿宋" w:eastAsia="仿宋_GB2312" w:cs="仿宋"/>
          <w:sz w:val="32"/>
          <w:szCs w:val="32"/>
        </w:rPr>
        <w:t xml:space="preserve">公司所有项目全部满足国家相应标准要求，并积极与管辖铁 路沿线地方政府对接处理各项工作。 </w:t>
      </w:r>
    </w:p>
    <w:p>
      <w:pPr>
        <w:autoSpaceDE w:val="0"/>
        <w:autoSpaceDN w:val="0"/>
        <w:adjustRightInd w:val="0"/>
        <w:snapToGrid w:val="0"/>
        <w:spacing w:line="560" w:lineRule="exact"/>
        <w:ind w:right="13" w:rightChars="6" w:firstLine="640" w:firstLineChars="200"/>
        <w:rPr>
          <w:rFonts w:ascii="楷体" w:hAnsi="楷体" w:eastAsia="楷体"/>
          <w:sz w:val="32"/>
          <w:szCs w:val="32"/>
        </w:rPr>
      </w:pPr>
      <w:r>
        <w:rPr>
          <w:rFonts w:ascii="楷体" w:hAnsi="楷体" w:eastAsia="楷体"/>
          <w:sz w:val="32"/>
          <w:szCs w:val="32"/>
        </w:rPr>
        <w:t xml:space="preserve">（五）提供安全的产品和服务，遵守商业道德情况 </w:t>
      </w:r>
    </w:p>
    <w:p>
      <w:pPr>
        <w:autoSpaceDE w:val="0"/>
        <w:autoSpaceDN w:val="0"/>
        <w:adjustRightInd w:val="0"/>
        <w:snapToGrid w:val="0"/>
        <w:spacing w:line="560" w:lineRule="exact"/>
        <w:ind w:right="13" w:rightChars="6" w:firstLine="640" w:firstLineChars="200"/>
        <w:rPr>
          <w:rFonts w:ascii="仿宋_GB2312" w:hAnsi="仿宋" w:eastAsia="仿宋_GB2312" w:cs="仿宋"/>
          <w:sz w:val="32"/>
          <w:szCs w:val="32"/>
        </w:rPr>
      </w:pPr>
      <w:r>
        <w:rPr>
          <w:rFonts w:ascii="仿宋_GB2312" w:hAnsi="仿宋" w:eastAsia="仿宋_GB2312" w:cs="仿宋"/>
          <w:sz w:val="32"/>
          <w:szCs w:val="32"/>
        </w:rPr>
        <w:t>公司始终遵守市场竞争规则和商业道德，维护市场经济秩序， 促进公平竞争，增强经济活动的可预期性。坚持依法经营，牢记 道德底线、法律红线，诚信合规经营。坚持以公平、对等、诚信 的态度对待商业合作伙伴，努力赢得伙伴和市场的信赖。</w:t>
      </w:r>
    </w:p>
    <w:p>
      <w:pPr>
        <w:autoSpaceDE w:val="0"/>
        <w:autoSpaceDN w:val="0"/>
        <w:adjustRightInd w:val="0"/>
        <w:snapToGrid w:val="0"/>
        <w:spacing w:line="560" w:lineRule="exact"/>
        <w:ind w:right="13" w:rightChars="6"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（六）对外大额捐赠和赞助情况</w:t>
      </w:r>
    </w:p>
    <w:p>
      <w:pPr>
        <w:autoSpaceDE w:val="0"/>
        <w:autoSpaceDN w:val="0"/>
        <w:adjustRightInd w:val="0"/>
        <w:snapToGrid w:val="0"/>
        <w:spacing w:line="560" w:lineRule="exact"/>
        <w:ind w:right="13" w:rightChars="6" w:firstLine="640" w:firstLineChars="200"/>
        <w:rPr>
          <w:rFonts w:ascii="仿宋_GB2312" w:hAnsi="仿宋" w:eastAsia="仿宋_GB2312" w:cs="仿宋"/>
          <w:sz w:val="32"/>
          <w:szCs w:val="32"/>
        </w:rPr>
      </w:pPr>
      <w:r>
        <w:rPr>
          <w:rFonts w:hint="eastAsia" w:ascii="仿宋_GB2312" w:hAnsi="仿宋" w:eastAsia="仿宋_GB2312" w:cs="仿宋"/>
          <w:sz w:val="32"/>
          <w:szCs w:val="32"/>
        </w:rPr>
        <w:t>无。</w:t>
      </w:r>
    </w:p>
    <w:p>
      <w:pPr>
        <w:widowControl/>
        <w:kinsoku w:val="0"/>
        <w:autoSpaceDE w:val="0"/>
        <w:autoSpaceDN w:val="0"/>
        <w:adjustRightInd w:val="0"/>
        <w:snapToGrid w:val="0"/>
        <w:spacing w:line="560" w:lineRule="exact"/>
        <w:ind w:firstLine="640" w:firstLineChars="200"/>
        <w:jc w:val="left"/>
        <w:textAlignment w:val="baseline"/>
        <w:rPr>
          <w:rFonts w:ascii="黑体" w:hAnsi="黑体" w:eastAsia="黑体" w:cs="Arial"/>
          <w:snapToGrid w:val="0"/>
          <w:color w:val="000000"/>
          <w:kern w:val="0"/>
          <w:sz w:val="32"/>
          <w:szCs w:val="32"/>
        </w:rPr>
      </w:pPr>
      <w:r>
        <w:rPr>
          <w:rFonts w:hint="eastAsia" w:ascii="黑体" w:hAnsi="黑体" w:eastAsia="黑体" w:cs="Arial"/>
          <w:snapToGrid w:val="0"/>
          <w:color w:val="000000"/>
          <w:kern w:val="0"/>
          <w:sz w:val="32"/>
          <w:szCs w:val="32"/>
        </w:rPr>
        <w:t>七、履职待遇及有关业务支出情况</w:t>
      </w:r>
    </w:p>
    <w:p>
      <w:pPr>
        <w:widowControl/>
        <w:kinsoku w:val="0"/>
        <w:autoSpaceDE w:val="0"/>
        <w:autoSpaceDN w:val="0"/>
        <w:adjustRightInd w:val="0"/>
        <w:snapToGrid w:val="0"/>
        <w:spacing w:line="560" w:lineRule="exact"/>
        <w:ind w:firstLine="640" w:firstLineChars="200"/>
        <w:jc w:val="left"/>
        <w:textAlignment w:val="baseline"/>
        <w:rPr>
          <w:rFonts w:ascii="楷体_GB2312" w:hAnsi="Arial" w:eastAsia="楷体_GB2312" w:cs="Arial"/>
          <w:snapToGrid w:val="0"/>
          <w:color w:val="000000"/>
          <w:kern w:val="0"/>
          <w:sz w:val="32"/>
          <w:szCs w:val="32"/>
        </w:rPr>
      </w:pPr>
      <w:r>
        <w:rPr>
          <w:rFonts w:hint="eastAsia" w:ascii="楷体_GB2312" w:hAnsi="Arial" w:eastAsia="楷体_GB2312" w:cs="Arial"/>
          <w:snapToGrid w:val="0"/>
          <w:color w:val="000000"/>
          <w:kern w:val="0"/>
          <w:sz w:val="32"/>
          <w:szCs w:val="32"/>
        </w:rPr>
        <w:t>（一）公司领导及有关业务人员公务用车配备、使用、维修情况或车辆补贴发放情况</w:t>
      </w:r>
    </w:p>
    <w:p>
      <w:pPr>
        <w:widowControl/>
        <w:kinsoku w:val="0"/>
        <w:autoSpaceDE w:val="0"/>
        <w:autoSpaceDN w:val="0"/>
        <w:adjustRightInd w:val="0"/>
        <w:snapToGrid w:val="0"/>
        <w:spacing w:line="560" w:lineRule="exact"/>
        <w:ind w:firstLine="640" w:firstLineChars="200"/>
        <w:jc w:val="left"/>
        <w:textAlignment w:val="baseline"/>
        <w:rPr>
          <w:rFonts w:ascii="仿宋_GB2312" w:hAnsi="Arial" w:eastAsia="仿宋_GB2312" w:cs="Arial"/>
          <w:snapToGrid w:val="0"/>
          <w:color w:val="000000"/>
          <w:kern w:val="0"/>
          <w:sz w:val="32"/>
          <w:szCs w:val="32"/>
        </w:rPr>
      </w:pPr>
      <w:r>
        <w:rPr>
          <w:rFonts w:hint="eastAsia" w:ascii="仿宋_GB2312" w:hAnsi="Arial" w:eastAsia="仿宋_GB2312" w:cs="Arial"/>
          <w:snapToGrid w:val="0"/>
          <w:color w:val="000000"/>
          <w:kern w:val="0"/>
          <w:sz w:val="32"/>
          <w:szCs w:val="32"/>
        </w:rPr>
        <w:t>公司领导及有关人员按照公务用车有关规定使用公司公车，不发放车辆补贴，公司领导及有关业务人员未配备公务用车，未发放公车补贴。</w:t>
      </w:r>
    </w:p>
    <w:p>
      <w:pPr>
        <w:widowControl/>
        <w:kinsoku w:val="0"/>
        <w:autoSpaceDE w:val="0"/>
        <w:autoSpaceDN w:val="0"/>
        <w:adjustRightInd w:val="0"/>
        <w:snapToGrid w:val="0"/>
        <w:spacing w:line="560" w:lineRule="exact"/>
        <w:ind w:firstLine="640" w:firstLineChars="200"/>
        <w:jc w:val="left"/>
        <w:textAlignment w:val="baseline"/>
        <w:rPr>
          <w:rFonts w:ascii="楷体_GB2312" w:hAnsi="Arial" w:eastAsia="楷体_GB2312" w:cs="Arial"/>
          <w:snapToGrid w:val="0"/>
          <w:color w:val="000000"/>
          <w:kern w:val="0"/>
          <w:sz w:val="32"/>
          <w:szCs w:val="32"/>
        </w:rPr>
      </w:pPr>
      <w:r>
        <w:rPr>
          <w:rFonts w:hint="eastAsia" w:ascii="楷体_GB2312" w:hAnsi="Arial" w:eastAsia="楷体_GB2312" w:cs="Arial"/>
          <w:snapToGrid w:val="0"/>
          <w:color w:val="000000"/>
          <w:kern w:val="0"/>
          <w:sz w:val="32"/>
          <w:szCs w:val="32"/>
        </w:rPr>
        <w:t>（二）公司领导及有关业务人员通讯、业务招待、差旅、国 （境）外考察培训等费用的支出情况</w:t>
      </w:r>
    </w:p>
    <w:p>
      <w:pPr>
        <w:widowControl/>
        <w:kinsoku w:val="0"/>
        <w:autoSpaceDE w:val="0"/>
        <w:autoSpaceDN w:val="0"/>
        <w:adjustRightInd w:val="0"/>
        <w:snapToGrid w:val="0"/>
        <w:spacing w:line="560" w:lineRule="exact"/>
        <w:ind w:firstLine="640" w:firstLineChars="200"/>
        <w:jc w:val="left"/>
        <w:textAlignment w:val="baseline"/>
        <w:rPr>
          <w:rFonts w:ascii="仿宋_GB2312" w:hAnsi="Arial" w:eastAsia="仿宋_GB2312" w:cs="Arial"/>
          <w:snapToGrid w:val="0"/>
          <w:color w:val="000000"/>
          <w:kern w:val="0"/>
          <w:sz w:val="32"/>
          <w:szCs w:val="32"/>
        </w:rPr>
      </w:pPr>
      <w:r>
        <w:rPr>
          <w:rFonts w:hint="eastAsia" w:ascii="仿宋_GB2312" w:hAnsi="Arial" w:eastAsia="仿宋_GB2312" w:cs="Arial"/>
          <w:snapToGrid w:val="0"/>
          <w:color w:val="000000"/>
          <w:kern w:val="0"/>
          <w:sz w:val="32"/>
          <w:szCs w:val="32"/>
        </w:rPr>
        <w:t>全年共发生通讯费2.</w:t>
      </w:r>
      <w:r>
        <w:rPr>
          <w:rFonts w:hint="eastAsia" w:ascii="仿宋_GB2312" w:hAnsi="Arial" w:eastAsia="仿宋_GB2312" w:cs="Arial"/>
          <w:snapToGrid w:val="0"/>
          <w:color w:val="000000"/>
          <w:kern w:val="0"/>
          <w:sz w:val="32"/>
          <w:szCs w:val="32"/>
          <w:lang w:val="en-US" w:eastAsia="zh-CN"/>
        </w:rPr>
        <w:t>4</w:t>
      </w:r>
      <w:r>
        <w:rPr>
          <w:rFonts w:hint="eastAsia" w:ascii="仿宋_GB2312" w:hAnsi="Arial" w:eastAsia="仿宋_GB2312" w:cs="Arial"/>
          <w:snapToGrid w:val="0"/>
          <w:color w:val="000000"/>
          <w:kern w:val="0"/>
          <w:sz w:val="32"/>
          <w:szCs w:val="32"/>
        </w:rPr>
        <w:t>6万元、业务招待费</w:t>
      </w:r>
      <w:r>
        <w:rPr>
          <w:rFonts w:ascii="仿宋_GB2312" w:hAnsi="Arial" w:eastAsia="仿宋_GB2312" w:cs="Arial"/>
          <w:snapToGrid w:val="0"/>
          <w:color w:val="000000"/>
          <w:kern w:val="0"/>
          <w:sz w:val="32"/>
          <w:szCs w:val="32"/>
        </w:rPr>
        <w:t>0.</w:t>
      </w:r>
      <w:r>
        <w:rPr>
          <w:rFonts w:hint="eastAsia" w:ascii="仿宋_GB2312" w:hAnsi="Arial" w:eastAsia="仿宋_GB2312" w:cs="Arial"/>
          <w:snapToGrid w:val="0"/>
          <w:color w:val="000000"/>
          <w:kern w:val="0"/>
          <w:sz w:val="32"/>
          <w:szCs w:val="32"/>
        </w:rPr>
        <w:t>4</w:t>
      </w:r>
      <w:r>
        <w:rPr>
          <w:rFonts w:hint="eastAsia" w:ascii="仿宋_GB2312" w:hAnsi="Arial" w:eastAsia="仿宋_GB2312" w:cs="Arial"/>
          <w:snapToGrid w:val="0"/>
          <w:color w:val="000000"/>
          <w:kern w:val="0"/>
          <w:sz w:val="32"/>
          <w:szCs w:val="32"/>
          <w:lang w:val="en-US" w:eastAsia="zh-CN"/>
        </w:rPr>
        <w:t>9</w:t>
      </w:r>
      <w:r>
        <w:rPr>
          <w:rFonts w:hint="eastAsia" w:ascii="仿宋_GB2312" w:hAnsi="Arial" w:eastAsia="仿宋_GB2312" w:cs="Arial"/>
          <w:snapToGrid w:val="0"/>
          <w:color w:val="000000"/>
          <w:kern w:val="0"/>
          <w:sz w:val="32"/>
          <w:szCs w:val="32"/>
        </w:rPr>
        <w:t>万元、差旅费</w:t>
      </w:r>
      <w:r>
        <w:rPr>
          <w:rFonts w:hint="eastAsia" w:ascii="仿宋_GB2312" w:hAnsi="Arial" w:eastAsia="仿宋_GB2312" w:cs="Arial"/>
          <w:snapToGrid w:val="0"/>
          <w:color w:val="000000"/>
          <w:kern w:val="0"/>
          <w:sz w:val="32"/>
          <w:szCs w:val="32"/>
          <w:lang w:val="en-US" w:eastAsia="zh-CN"/>
        </w:rPr>
        <w:t>7.41</w:t>
      </w:r>
      <w:r>
        <w:rPr>
          <w:rFonts w:hint="eastAsia" w:ascii="仿宋_GB2312" w:hAnsi="Arial" w:eastAsia="仿宋_GB2312" w:cs="Arial"/>
          <w:snapToGrid w:val="0"/>
          <w:color w:val="000000"/>
          <w:kern w:val="0"/>
          <w:sz w:val="32"/>
          <w:szCs w:val="32"/>
        </w:rPr>
        <w:t>万元，全年未发生国（境）外考察培训等费用支出。</w:t>
      </w:r>
    </w:p>
    <w:p>
      <w:pPr>
        <w:spacing w:line="560" w:lineRule="exact"/>
        <w:ind w:right="77" w:firstLine="484"/>
        <w:rPr>
          <w:rFonts w:ascii="仿宋_GB2312" w:hAnsi="仿宋" w:eastAsia="仿宋_GB2312" w:cs="仿宋"/>
          <w:sz w:val="32"/>
          <w:szCs w:val="32"/>
        </w:rPr>
      </w:pPr>
      <w:r>
        <w:rPr>
          <w:rFonts w:hint="eastAsia" w:ascii="仿宋_GB2312" w:hAnsi="仿宋" w:eastAsia="仿宋_GB2312" w:cs="仿宋"/>
          <w:sz w:val="32"/>
          <w:szCs w:val="32"/>
        </w:rPr>
        <w:t>以上信息，尚未经公司董事会审批。</w:t>
      </w:r>
    </w:p>
    <w:p>
      <w:pPr>
        <w:autoSpaceDE w:val="0"/>
        <w:autoSpaceDN w:val="0"/>
        <w:adjustRightInd w:val="0"/>
        <w:snapToGrid w:val="0"/>
        <w:spacing w:line="560" w:lineRule="exact"/>
        <w:ind w:right="13" w:rightChars="6" w:firstLine="640" w:firstLineChars="200"/>
        <w:rPr>
          <w:rFonts w:ascii="仿宋_GB2312" w:hAnsi="宋体" w:eastAsia="仿宋_GB2312"/>
          <w:color w:val="000000"/>
          <w:kern w:val="0"/>
          <w:sz w:val="32"/>
          <w:szCs w:val="32"/>
        </w:rPr>
      </w:pPr>
    </w:p>
    <w:p>
      <w:pPr>
        <w:autoSpaceDE w:val="0"/>
        <w:autoSpaceDN w:val="0"/>
        <w:adjustRightInd w:val="0"/>
        <w:snapToGrid w:val="0"/>
        <w:spacing w:line="560" w:lineRule="exact"/>
        <w:ind w:right="13" w:rightChars="6" w:firstLine="640" w:firstLineChars="200"/>
        <w:rPr>
          <w:rFonts w:ascii="仿宋_GB2312" w:hAnsi="宋体" w:eastAsia="仿宋_GB2312"/>
          <w:color w:val="000000"/>
          <w:kern w:val="0"/>
          <w:sz w:val="32"/>
          <w:szCs w:val="32"/>
        </w:rPr>
      </w:pPr>
    </w:p>
    <w:p>
      <w:pPr>
        <w:spacing w:line="560" w:lineRule="exact"/>
        <w:ind w:right="77" w:firstLine="3840" w:firstLineChars="1200"/>
        <w:rPr>
          <w:rFonts w:ascii="仿宋_GB2312" w:hAnsi="仿宋" w:eastAsia="仿宋_GB2312" w:cs="仿宋"/>
          <w:sz w:val="32"/>
          <w:szCs w:val="32"/>
        </w:rPr>
      </w:pPr>
      <w:r>
        <w:rPr>
          <w:rFonts w:hint="eastAsia" w:ascii="仿宋_GB2312" w:hAnsi="仿宋" w:eastAsia="仿宋_GB2312" w:cs="仿宋"/>
          <w:sz w:val="32"/>
          <w:szCs w:val="32"/>
        </w:rPr>
        <w:t>枣临铁路有限责任公司</w:t>
      </w:r>
    </w:p>
    <w:p>
      <w:pPr>
        <w:spacing w:line="560" w:lineRule="exact"/>
        <w:ind w:right="77" w:firstLine="4160" w:firstLineChars="1300"/>
        <w:rPr>
          <w:rFonts w:ascii="仿宋_GB2312" w:hAnsi="仿宋" w:eastAsia="仿宋_GB2312" w:cs="仿宋"/>
          <w:sz w:val="32"/>
          <w:szCs w:val="32"/>
        </w:rPr>
      </w:pPr>
      <w:r>
        <w:rPr>
          <w:rFonts w:hint="eastAsia" w:ascii="仿宋_GB2312" w:hAnsi="仿宋" w:eastAsia="仿宋_GB2312" w:cs="仿宋"/>
          <w:sz w:val="32"/>
          <w:szCs w:val="32"/>
        </w:rPr>
        <w:t>2</w:t>
      </w:r>
      <w:r>
        <w:rPr>
          <w:rFonts w:ascii="仿宋_GB2312" w:hAnsi="仿宋" w:eastAsia="仿宋_GB2312" w:cs="仿宋"/>
          <w:sz w:val="32"/>
          <w:szCs w:val="32"/>
        </w:rPr>
        <w:t>02</w:t>
      </w:r>
      <w:r>
        <w:rPr>
          <w:rFonts w:hint="eastAsia" w:ascii="仿宋_GB2312" w:hAnsi="仿宋" w:eastAsia="仿宋_GB2312" w:cs="仿宋"/>
          <w:sz w:val="32"/>
          <w:szCs w:val="32"/>
          <w:lang w:val="en-US" w:eastAsia="zh-CN"/>
        </w:rPr>
        <w:t>4</w:t>
      </w:r>
      <w:r>
        <w:rPr>
          <w:rFonts w:hint="eastAsia" w:ascii="仿宋_GB2312" w:hAnsi="仿宋" w:eastAsia="仿宋_GB2312" w:cs="仿宋"/>
          <w:sz w:val="32"/>
          <w:szCs w:val="32"/>
        </w:rPr>
        <w:t>年</w:t>
      </w:r>
      <w:r>
        <w:rPr>
          <w:rFonts w:hint="eastAsia" w:ascii="仿宋_GB2312" w:hAnsi="仿宋" w:eastAsia="仿宋_GB2312" w:cs="仿宋"/>
          <w:sz w:val="32"/>
          <w:szCs w:val="32"/>
          <w:lang w:val="en-US" w:eastAsia="zh-CN"/>
        </w:rPr>
        <w:t>6</w:t>
      </w:r>
      <w:r>
        <w:rPr>
          <w:rFonts w:hint="eastAsia" w:ascii="仿宋_GB2312" w:hAnsi="仿宋" w:eastAsia="仿宋_GB2312" w:cs="仿宋"/>
          <w:sz w:val="32"/>
          <w:szCs w:val="32"/>
        </w:rPr>
        <w:t>月</w:t>
      </w:r>
      <w:r>
        <w:rPr>
          <w:rFonts w:hint="eastAsia" w:ascii="仿宋_GB2312" w:hAnsi="仿宋" w:eastAsia="仿宋_GB2312" w:cs="仿宋"/>
          <w:sz w:val="32"/>
          <w:szCs w:val="32"/>
          <w:lang w:val="en-US" w:eastAsia="zh-CN"/>
        </w:rPr>
        <w:t>25</w:t>
      </w:r>
      <w:r>
        <w:rPr>
          <w:rFonts w:hint="eastAsia" w:ascii="仿宋_GB2312" w:hAnsi="仿宋" w:eastAsia="仿宋_GB2312" w:cs="仿宋"/>
          <w:sz w:val="32"/>
          <w:szCs w:val="32"/>
        </w:rPr>
        <w:t>日</w:t>
      </w:r>
    </w:p>
    <w:p/>
    <w:sectPr>
      <w:footerReference r:id="rId3" w:type="default"/>
      <w:footerReference r:id="rId4" w:type="even"/>
      <w:pgSz w:w="11906" w:h="16838"/>
      <w:pgMar w:top="2098" w:right="1474" w:bottom="1985" w:left="1588" w:header="851" w:footer="992" w:gutter="0"/>
      <w:pgNumType w:fmt="numberInDash"/>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华文琥珀">
    <w:panose1 w:val="02010800040101010101"/>
    <w:charset w:val="86"/>
    <w:family w:val="auto"/>
    <w:pitch w:val="default"/>
    <w:sig w:usb0="00000001" w:usb1="080F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46547551"/>
      <w:docPartObj>
        <w:docPartGallery w:val="autotext"/>
      </w:docPartObj>
    </w:sdtPr>
    <w:sdtEndPr>
      <w:rPr>
        <w:rFonts w:ascii="宋体" w:hAnsi="宋体"/>
        <w:sz w:val="28"/>
        <w:szCs w:val="28"/>
      </w:rPr>
    </w:sdtEndPr>
    <w:sdtContent>
      <w:p>
        <w:pPr>
          <w:pStyle w:val="2"/>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11 -</w:t>
        </w:r>
        <w:r>
          <w:rPr>
            <w:rFonts w:ascii="宋体" w:hAnsi="宋体"/>
            <w:sz w:val="28"/>
            <w:szCs w:val="28"/>
          </w:rPr>
          <w:fldChar w:fldCharType="end"/>
        </w:r>
      </w:p>
    </w:sdtContent>
  </w:sdt>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02482589"/>
      <w:docPartObj>
        <w:docPartGallery w:val="autotext"/>
      </w:docPartObj>
    </w:sdtPr>
    <w:sdtEndPr>
      <w:rPr>
        <w:rFonts w:ascii="宋体" w:hAnsi="宋体"/>
        <w:sz w:val="28"/>
        <w:szCs w:val="28"/>
      </w:rPr>
    </w:sdtEndPr>
    <w:sdtContent>
      <w:p>
        <w:pPr>
          <w:pStyle w:val="2"/>
          <w:ind w:right="720"/>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rPr>
          <w:t>- 12 -</w:t>
        </w:r>
        <w:r>
          <w:rPr>
            <w:rFonts w:ascii="宋体" w:hAnsi="宋体"/>
            <w:sz w:val="28"/>
            <w:szCs w:val="28"/>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evenAndOddHeaders w:val="1"/>
  <w:drawingGridHorizontalSpacing w:val="105"/>
  <w:drawingGridVerticalSpacing w:val="163"/>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JiMWYzM2Q4OTVmYjY3ZTQ0Zjc4MDI2MTdiMWE4ZGQifQ=="/>
  </w:docVars>
  <w:rsids>
    <w:rsidRoot w:val="00980731"/>
    <w:rsid w:val="0004065D"/>
    <w:rsid w:val="000F4E23"/>
    <w:rsid w:val="00124661"/>
    <w:rsid w:val="001C5B40"/>
    <w:rsid w:val="003C674E"/>
    <w:rsid w:val="003E4898"/>
    <w:rsid w:val="003F7B43"/>
    <w:rsid w:val="0040017A"/>
    <w:rsid w:val="00422D66"/>
    <w:rsid w:val="00466C1A"/>
    <w:rsid w:val="005D65D3"/>
    <w:rsid w:val="006D750E"/>
    <w:rsid w:val="006E099C"/>
    <w:rsid w:val="006F276C"/>
    <w:rsid w:val="00744070"/>
    <w:rsid w:val="0077278A"/>
    <w:rsid w:val="007D476A"/>
    <w:rsid w:val="007E6573"/>
    <w:rsid w:val="0081480E"/>
    <w:rsid w:val="00817A75"/>
    <w:rsid w:val="008268BE"/>
    <w:rsid w:val="00835725"/>
    <w:rsid w:val="0087460C"/>
    <w:rsid w:val="00887DA5"/>
    <w:rsid w:val="008D4259"/>
    <w:rsid w:val="00980731"/>
    <w:rsid w:val="009B0524"/>
    <w:rsid w:val="009E5A93"/>
    <w:rsid w:val="00AA5702"/>
    <w:rsid w:val="00B1665A"/>
    <w:rsid w:val="00B53852"/>
    <w:rsid w:val="00B7715A"/>
    <w:rsid w:val="00BD411B"/>
    <w:rsid w:val="00C459FB"/>
    <w:rsid w:val="00C574D1"/>
    <w:rsid w:val="00C92ABD"/>
    <w:rsid w:val="00D33DCA"/>
    <w:rsid w:val="00D344B9"/>
    <w:rsid w:val="00D94E98"/>
    <w:rsid w:val="00DA03AA"/>
    <w:rsid w:val="00DC4DED"/>
    <w:rsid w:val="00E66B6E"/>
    <w:rsid w:val="00ED6836"/>
    <w:rsid w:val="00F3075C"/>
    <w:rsid w:val="00F83373"/>
    <w:rsid w:val="00FE028F"/>
    <w:rsid w:val="02B61526"/>
    <w:rsid w:val="07B43AAB"/>
    <w:rsid w:val="083C3D2C"/>
    <w:rsid w:val="0BAD643E"/>
    <w:rsid w:val="103C7F8E"/>
    <w:rsid w:val="158C1878"/>
    <w:rsid w:val="1A70024B"/>
    <w:rsid w:val="1CBC0F61"/>
    <w:rsid w:val="211144DD"/>
    <w:rsid w:val="21C66DF6"/>
    <w:rsid w:val="25196BCD"/>
    <w:rsid w:val="26C47C39"/>
    <w:rsid w:val="27C2433F"/>
    <w:rsid w:val="2E0977CB"/>
    <w:rsid w:val="2E8043C7"/>
    <w:rsid w:val="3B4B6FCD"/>
    <w:rsid w:val="40DD44B3"/>
    <w:rsid w:val="41E77A6F"/>
    <w:rsid w:val="430F6A43"/>
    <w:rsid w:val="43446ECF"/>
    <w:rsid w:val="4A814E94"/>
    <w:rsid w:val="50BE3714"/>
    <w:rsid w:val="57EA0396"/>
    <w:rsid w:val="6AF01018"/>
    <w:rsid w:val="6D216C60"/>
    <w:rsid w:val="6E472A13"/>
    <w:rsid w:val="74FC3B88"/>
    <w:rsid w:val="78A65357"/>
    <w:rsid w:val="7F8B32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Times New Roman" w:hAnsi="Times New Roman" w:eastAsia="宋体" w:cs="Times New Roman"/>
      <w:sz w:val="18"/>
      <w:szCs w:val="18"/>
    </w:rPr>
  </w:style>
  <w:style w:type="character" w:customStyle="1" w:styleId="7">
    <w:name w:val="页脚 Char"/>
    <w:basedOn w:val="5"/>
    <w:link w:val="2"/>
    <w:qFormat/>
    <w:uiPriority w:val="99"/>
    <w:rPr>
      <w:rFonts w:ascii="Times New Roman" w:hAnsi="Times New Roman" w:eastAsia="宋体" w:cs="Times New Roman"/>
      <w:sz w:val="18"/>
      <w:szCs w:val="18"/>
    </w:rPr>
  </w:style>
  <w:style w:type="character" w:customStyle="1" w:styleId="8">
    <w:name w:val="Heading #1|1_"/>
    <w:basedOn w:val="5"/>
    <w:link w:val="9"/>
    <w:qFormat/>
    <w:uiPriority w:val="0"/>
    <w:rPr>
      <w:rFonts w:ascii="宋体" w:hAnsi="宋体" w:eastAsia="宋体" w:cs="宋体"/>
      <w:sz w:val="42"/>
      <w:szCs w:val="42"/>
      <w:lang w:val="zh-TW" w:eastAsia="zh-TW" w:bidi="zh-TW"/>
    </w:rPr>
  </w:style>
  <w:style w:type="paragraph" w:customStyle="1" w:styleId="9">
    <w:name w:val="Heading #1|1"/>
    <w:basedOn w:val="1"/>
    <w:link w:val="8"/>
    <w:qFormat/>
    <w:uiPriority w:val="0"/>
    <w:pPr>
      <w:spacing w:after="350"/>
      <w:jc w:val="center"/>
      <w:outlineLvl w:val="0"/>
    </w:pPr>
    <w:rPr>
      <w:rFonts w:ascii="宋体" w:hAnsi="宋体" w:cs="宋体"/>
      <w:sz w:val="42"/>
      <w:szCs w:val="42"/>
      <w:lang w:val="zh-TW" w:eastAsia="zh-TW" w:bidi="zh-TW"/>
    </w:rPr>
  </w:style>
  <w:style w:type="table" w:customStyle="1" w:styleId="10">
    <w:name w:val="Table Normal"/>
    <w:semiHidden/>
    <w:unhideWhenUsed/>
    <w:qFormat/>
    <w:uiPriority w:val="0"/>
    <w:rPr>
      <w:rFonts w:ascii="Arial" w:hAnsi="Arial" w:cs="Arial"/>
      <w:snapToGrid w:val="0"/>
      <w:color w:val="000000"/>
      <w:szCs w:val="21"/>
    </w:rPr>
    <w:tblPr>
      <w:tblCellMar>
        <w:top w:w="0" w:type="dxa"/>
        <w:left w:w="0" w:type="dxa"/>
        <w:bottom w:w="0" w:type="dxa"/>
        <w:right w:w="0" w:type="dxa"/>
      </w:tblCellMar>
    </w:tblPr>
  </w:style>
  <w:style w:type="paragraph" w:customStyle="1" w:styleId="11">
    <w:name w:val="FN6正文"/>
    <w:basedOn w:val="1"/>
    <w:qFormat/>
    <w:uiPriority w:val="0"/>
    <w:pPr>
      <w:widowControl/>
      <w:ind w:firstLine="200" w:firstLineChars="200"/>
      <w:jc w:val="left"/>
    </w:pPr>
    <w:rPr>
      <w:sz w:val="28"/>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4578</Words>
  <Characters>4938</Characters>
  <Lines>36</Lines>
  <Paragraphs>10</Paragraphs>
  <TotalTime>3</TotalTime>
  <ScaleCrop>false</ScaleCrop>
  <LinksUpToDate>false</LinksUpToDate>
  <CharactersWithSpaces>4994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2022-04-21T06:40:00Z</dcterms:created>
  <dc:creator>dongchunqian@outlook.com</dc:creator>
  <cp:lastModifiedBy>董春千</cp:lastModifiedBy>
  <dcterms:modified xsi:type="dcterms:W3CDTF">2024-06-25T02:27:28Z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5031F0E9A5DF4117B7C6DC5F6D2CF91D_13</vt:lpwstr>
  </property>
</Properties>
</file>