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557FD">
      <w:pPr>
        <w:rPr>
          <w:rFonts w:eastAsia="方正小标宋简体"/>
          <w:lang w:val="zh-CN" w:eastAsia="zh-CN" w:bidi="zh-CN"/>
        </w:rPr>
      </w:pPr>
      <w:bookmarkStart w:id="0" w:name="bookmark0"/>
      <w:bookmarkStart w:id="1" w:name="bookmark1"/>
      <w:bookmarkStart w:id="2" w:name="bookmark2"/>
    </w:p>
    <w:p w14:paraId="287B1A6D">
      <w:pPr>
        <w:jc w:val="center"/>
        <w:rPr>
          <w:rFonts w:ascii="方正小标宋简体" w:eastAsia="方正小标宋简体"/>
          <w:sz w:val="44"/>
          <w:szCs w:val="44"/>
          <w:lang w:eastAsia="zh-CN" w:bidi="zh-CN"/>
        </w:rPr>
      </w:pPr>
      <w:r>
        <w:rPr>
          <w:rFonts w:hint="eastAsia" w:ascii="方正小标宋简体" w:eastAsia="方正小标宋简体"/>
          <w:sz w:val="44"/>
          <w:szCs w:val="44"/>
          <w:lang w:val="zh-CN" w:eastAsia="zh-CN" w:bidi="zh-CN"/>
        </w:rPr>
        <w:t>东平铁路公司</w:t>
      </w:r>
      <w:r>
        <w:rPr>
          <w:rFonts w:hint="eastAsia" w:ascii="方正小标宋简体" w:eastAsia="方正小标宋简体"/>
          <w:sz w:val="44"/>
          <w:szCs w:val="44"/>
          <w:lang w:eastAsia="zh-CN" w:bidi="zh-CN"/>
        </w:rPr>
        <w:t>年度公开信息</w:t>
      </w:r>
    </w:p>
    <w:bookmarkEnd w:id="0"/>
    <w:bookmarkEnd w:id="1"/>
    <w:bookmarkEnd w:id="2"/>
    <w:p w14:paraId="435A09AA">
      <w:pPr>
        <w:rPr>
          <w:rFonts w:ascii="黑体" w:hAnsi="黑体" w:eastAsia="黑体" w:cs="黑体"/>
          <w:sz w:val="32"/>
          <w:szCs w:val="32"/>
          <w:lang w:eastAsia="zh-CN"/>
        </w:rPr>
      </w:pPr>
    </w:p>
    <w:p w14:paraId="39B5B6DC">
      <w:pPr>
        <w:spacing w:line="580" w:lineRule="exact"/>
        <w:ind w:firstLine="707" w:firstLineChars="221"/>
        <w:rPr>
          <w:rFonts w:ascii="黑体" w:hAnsi="黑体" w:eastAsia="黑体" w:cs="黑体"/>
          <w:sz w:val="32"/>
          <w:szCs w:val="32"/>
          <w:lang w:eastAsia="zh-CN"/>
        </w:rPr>
      </w:pPr>
      <w:r>
        <w:rPr>
          <w:rFonts w:ascii="黑体" w:hAnsi="黑体" w:eastAsia="黑体" w:cs="黑体"/>
          <w:sz w:val="32"/>
          <w:szCs w:val="32"/>
          <w:lang w:eastAsia="zh-CN"/>
        </w:rPr>
        <w:t xml:space="preserve">一、工商注册登记等公司基本信息 </w:t>
      </w:r>
    </w:p>
    <w:p w14:paraId="26401459">
      <w:pPr>
        <w:spacing w:line="580" w:lineRule="exact"/>
        <w:ind w:firstLine="707" w:firstLineChars="221"/>
        <w:rPr>
          <w:rFonts w:ascii="黑体" w:hAnsi="黑体" w:eastAsia="黑体" w:cs="黑体"/>
          <w:sz w:val="32"/>
          <w:szCs w:val="32"/>
          <w:lang w:eastAsia="zh-CN"/>
        </w:rPr>
      </w:pPr>
      <w:r>
        <w:rPr>
          <w:rFonts w:ascii="黑体" w:hAnsi="黑体" w:eastAsia="黑体" w:cs="黑体"/>
          <w:sz w:val="32"/>
          <w:szCs w:val="32"/>
          <w:lang w:eastAsia="zh-CN"/>
        </w:rPr>
        <w:t xml:space="preserve">（一）公司简介 </w:t>
      </w:r>
    </w:p>
    <w:p w14:paraId="509A7A9B">
      <w:pPr>
        <w:spacing w:line="580" w:lineRule="exact"/>
        <w:ind w:firstLine="707" w:firstLineChars="221"/>
        <w:jc w:val="both"/>
        <w:rPr>
          <w:rFonts w:ascii="仿宋_GB2312" w:hAnsi="黑体" w:eastAsia="仿宋_GB2312"/>
          <w:sz w:val="32"/>
          <w:szCs w:val="28"/>
          <w:lang w:eastAsia="zh-CN"/>
        </w:rPr>
      </w:pPr>
      <w:r>
        <w:rPr>
          <w:rFonts w:hint="eastAsia" w:ascii="仿宋_GB2312" w:hAnsi="黑体" w:eastAsia="仿宋_GB2312"/>
          <w:sz w:val="32"/>
          <w:szCs w:val="28"/>
          <w:lang w:eastAsia="zh-CN"/>
        </w:rPr>
        <w:t>东平铁路北接磁莱线东都站，南至兖石线平邑站，管辖东牛家庄、放城两个车站，全长</w:t>
      </w:r>
      <w:r>
        <w:rPr>
          <w:rFonts w:ascii="仿宋_GB2312" w:hAnsi="黑体" w:eastAsia="仿宋_GB2312"/>
          <w:sz w:val="32"/>
          <w:szCs w:val="28"/>
          <w:lang w:eastAsia="zh-CN"/>
        </w:rPr>
        <w:t>60.192</w:t>
      </w:r>
      <w:r>
        <w:rPr>
          <w:rFonts w:hint="eastAsia" w:ascii="仿宋_GB2312" w:hAnsi="黑体" w:eastAsia="仿宋_GB2312"/>
          <w:sz w:val="32"/>
          <w:szCs w:val="28"/>
          <w:lang w:eastAsia="zh-CN"/>
        </w:rPr>
        <w:t>公里，于</w:t>
      </w:r>
      <w:r>
        <w:rPr>
          <w:rFonts w:ascii="仿宋_GB2312" w:hAnsi="黑体" w:eastAsia="仿宋_GB2312"/>
          <w:sz w:val="32"/>
          <w:szCs w:val="28"/>
          <w:lang w:eastAsia="zh-CN"/>
        </w:rPr>
        <w:t>2010</w:t>
      </w:r>
      <w:r>
        <w:rPr>
          <w:rFonts w:hint="eastAsia" w:ascii="仿宋_GB2312" w:hAnsi="黑体" w:eastAsia="仿宋_GB2312"/>
          <w:sz w:val="32"/>
          <w:szCs w:val="28"/>
          <w:lang w:eastAsia="zh-CN"/>
        </w:rPr>
        <w:t>年</w:t>
      </w:r>
      <w:r>
        <w:rPr>
          <w:rFonts w:ascii="仿宋_GB2312" w:hAnsi="黑体" w:eastAsia="仿宋_GB2312"/>
          <w:sz w:val="32"/>
          <w:szCs w:val="28"/>
          <w:lang w:eastAsia="zh-CN"/>
        </w:rPr>
        <w:t>11</w:t>
      </w:r>
      <w:r>
        <w:rPr>
          <w:rFonts w:hint="eastAsia" w:ascii="仿宋_GB2312" w:hAnsi="黑体" w:eastAsia="仿宋_GB2312"/>
          <w:sz w:val="32"/>
          <w:szCs w:val="28"/>
          <w:lang w:eastAsia="zh-CN"/>
        </w:rPr>
        <w:t>月</w:t>
      </w:r>
      <w:r>
        <w:rPr>
          <w:rFonts w:ascii="仿宋_GB2312" w:hAnsi="黑体" w:eastAsia="仿宋_GB2312"/>
          <w:sz w:val="32"/>
          <w:szCs w:val="28"/>
          <w:lang w:eastAsia="zh-CN"/>
        </w:rPr>
        <w:t xml:space="preserve">22 </w:t>
      </w:r>
      <w:r>
        <w:rPr>
          <w:rFonts w:hint="eastAsia" w:ascii="仿宋_GB2312" w:hAnsi="黑体" w:eastAsia="仿宋_GB2312"/>
          <w:sz w:val="32"/>
          <w:szCs w:val="28"/>
          <w:lang w:eastAsia="zh-CN"/>
        </w:rPr>
        <w:t>日建成通车。</w:t>
      </w:r>
      <w:r>
        <w:rPr>
          <w:rFonts w:ascii="仿宋_GB2312" w:hAnsi="黑体" w:eastAsia="仿宋_GB2312"/>
          <w:sz w:val="32"/>
          <w:szCs w:val="28"/>
          <w:lang w:eastAsia="zh-CN"/>
        </w:rPr>
        <w:t>按照山东省委、省政府和国家铁路集团“一省一公司”的重大决策部署，</w:t>
      </w:r>
      <w:r>
        <w:rPr>
          <w:rFonts w:hint="eastAsia" w:ascii="仿宋" w:hAnsi="仿宋" w:eastAsia="仿宋" w:cs="仿宋"/>
          <w:sz w:val="32"/>
          <w:szCs w:val="32"/>
          <w:lang w:eastAsia="zh-CN"/>
        </w:rPr>
        <w:t>东平</w:t>
      </w:r>
      <w:r>
        <w:rPr>
          <w:rFonts w:ascii="仿宋_GB2312" w:hAnsi="黑体" w:eastAsia="仿宋_GB2312"/>
          <w:sz w:val="32"/>
          <w:szCs w:val="28"/>
          <w:lang w:eastAsia="zh-CN"/>
        </w:rPr>
        <w:t>铁路有限责任公司</w:t>
      </w:r>
      <w:r>
        <w:rPr>
          <w:rFonts w:hint="eastAsia" w:ascii="仿宋_GB2312" w:hAnsi="黑体" w:eastAsia="仿宋_GB2312"/>
          <w:sz w:val="32"/>
          <w:szCs w:val="28"/>
          <w:lang w:val="en-US" w:eastAsia="zh-CN"/>
        </w:rPr>
        <w:t>于2020年7月</w:t>
      </w:r>
      <w:r>
        <w:rPr>
          <w:rFonts w:ascii="仿宋_GB2312" w:hAnsi="黑体" w:eastAsia="仿宋_GB2312"/>
          <w:sz w:val="32"/>
          <w:szCs w:val="28"/>
          <w:lang w:eastAsia="zh-CN"/>
        </w:rPr>
        <w:t>由中国铁路济南局集团有限公司移交山东铁路有限公司。</w:t>
      </w:r>
    </w:p>
    <w:p w14:paraId="1285AA89">
      <w:pPr>
        <w:spacing w:line="58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（二）公司注册信息</w:t>
      </w:r>
    </w:p>
    <w:p w14:paraId="6DF65745">
      <w:pPr>
        <w:spacing w:line="580" w:lineRule="exact"/>
        <w:ind w:firstLine="720" w:firstLineChars="225"/>
        <w:rPr>
          <w:rFonts w:ascii="仿宋" w:hAnsi="仿宋" w:eastAsia="仿宋" w:cs="仿宋"/>
          <w:sz w:val="32"/>
          <w:szCs w:val="32"/>
          <w:lang w:eastAsia="zh-CN"/>
        </w:rPr>
      </w:pPr>
      <w:r>
        <w:rPr>
          <w:rFonts w:hint="eastAsia" w:ascii="楷体" w:hAnsi="楷体" w:eastAsia="楷体" w:cs="楷体"/>
          <w:sz w:val="32"/>
          <w:szCs w:val="32"/>
          <w:lang w:eastAsia="zh-CN"/>
        </w:rPr>
        <w:t>公司名称：</w:t>
      </w:r>
      <w:r>
        <w:rPr>
          <w:rFonts w:hint="eastAsia" w:ascii="仿宋" w:hAnsi="仿宋" w:eastAsia="仿宋" w:cs="仿宋"/>
          <w:sz w:val="32"/>
          <w:szCs w:val="32"/>
          <w:lang w:eastAsia="zh-CN"/>
        </w:rPr>
        <w:t>东平铁路有限责任公司</w:t>
      </w:r>
    </w:p>
    <w:p w14:paraId="3C6020C5">
      <w:pPr>
        <w:spacing w:line="580" w:lineRule="exact"/>
        <w:ind w:firstLine="720" w:firstLineChars="225"/>
        <w:rPr>
          <w:rFonts w:ascii="仿宋" w:hAnsi="仿宋" w:eastAsia="仿宋" w:cs="仿宋"/>
          <w:sz w:val="32"/>
          <w:szCs w:val="32"/>
          <w:lang w:eastAsia="zh-CN"/>
        </w:rPr>
      </w:pPr>
      <w:r>
        <w:rPr>
          <w:rFonts w:hint="eastAsia" w:ascii="楷体" w:hAnsi="楷体" w:eastAsia="楷体" w:cs="楷体"/>
          <w:sz w:val="32"/>
          <w:szCs w:val="32"/>
          <w:lang w:eastAsia="zh-CN"/>
        </w:rPr>
        <w:t>法定代表人：</w:t>
      </w:r>
      <w:r>
        <w:rPr>
          <w:rFonts w:hint="eastAsia" w:ascii="仿宋" w:hAnsi="仿宋" w:eastAsia="仿宋" w:cs="仿宋"/>
          <w:sz w:val="32"/>
          <w:szCs w:val="32"/>
          <w:lang w:eastAsia="zh-CN"/>
        </w:rPr>
        <w:t>王炎义</w:t>
      </w:r>
    </w:p>
    <w:p w14:paraId="0A630897">
      <w:pPr>
        <w:spacing w:line="580" w:lineRule="exact"/>
        <w:ind w:firstLine="720" w:firstLineChars="225"/>
        <w:rPr>
          <w:rFonts w:ascii="仿宋" w:hAnsi="仿宋" w:eastAsia="仿宋" w:cs="仿宋"/>
          <w:sz w:val="32"/>
          <w:szCs w:val="32"/>
          <w:lang w:eastAsia="zh-CN"/>
        </w:rPr>
      </w:pPr>
      <w:r>
        <w:rPr>
          <w:rFonts w:hint="eastAsia" w:ascii="楷体" w:hAnsi="楷体" w:eastAsia="楷体" w:cs="楷体"/>
          <w:sz w:val="32"/>
          <w:szCs w:val="32"/>
          <w:lang w:eastAsia="zh-CN"/>
        </w:rPr>
        <w:t>统一社会信用代码：</w:t>
      </w:r>
      <w:r>
        <w:rPr>
          <w:rFonts w:hint="eastAsia" w:ascii="仿宋" w:hAnsi="仿宋" w:eastAsia="仿宋" w:cs="仿宋"/>
          <w:sz w:val="32"/>
          <w:szCs w:val="32"/>
          <w:lang w:eastAsia="zh-CN"/>
        </w:rPr>
        <w:t>91370000684811508T</w:t>
      </w:r>
      <w:r>
        <w:rPr>
          <w:rFonts w:hint="eastAsia" w:ascii="仿宋" w:hAnsi="仿宋" w:eastAsia="仿宋" w:cs="仿宋"/>
          <w:sz w:val="32"/>
          <w:szCs w:val="32"/>
          <w:lang w:eastAsia="zh-CN"/>
        </w:rPr>
        <w:tab/>
      </w:r>
    </w:p>
    <w:p w14:paraId="4CC4DDD2">
      <w:pPr>
        <w:spacing w:line="580" w:lineRule="exact"/>
        <w:ind w:firstLine="720" w:firstLineChars="225"/>
        <w:rPr>
          <w:rFonts w:ascii="仿宋" w:hAnsi="仿宋" w:eastAsia="仿宋" w:cs="仿宋"/>
          <w:sz w:val="32"/>
          <w:szCs w:val="32"/>
          <w:lang w:eastAsia="zh-CN"/>
        </w:rPr>
      </w:pPr>
      <w:r>
        <w:rPr>
          <w:rFonts w:hint="eastAsia" w:ascii="楷体" w:hAnsi="楷体" w:eastAsia="楷体" w:cs="楷体"/>
          <w:sz w:val="32"/>
          <w:szCs w:val="32"/>
          <w:lang w:eastAsia="zh-CN"/>
        </w:rPr>
        <w:t>营业期限：</w:t>
      </w:r>
      <w:r>
        <w:rPr>
          <w:rFonts w:hint="eastAsia" w:ascii="仿宋" w:hAnsi="仿宋" w:eastAsia="仿宋" w:cs="仿宋"/>
          <w:sz w:val="32"/>
          <w:szCs w:val="32"/>
          <w:lang w:eastAsia="zh-CN"/>
        </w:rPr>
        <w:t>2009-1-17至2039-1-16</w:t>
      </w:r>
    </w:p>
    <w:p w14:paraId="5F8867F3">
      <w:pPr>
        <w:spacing w:line="580" w:lineRule="exact"/>
        <w:ind w:firstLine="720" w:firstLineChars="225"/>
        <w:rPr>
          <w:rFonts w:ascii="仿宋" w:hAnsi="仿宋" w:eastAsia="仿宋" w:cs="仿宋"/>
          <w:sz w:val="32"/>
          <w:szCs w:val="32"/>
          <w:lang w:eastAsia="zh-CN"/>
        </w:rPr>
      </w:pPr>
      <w:r>
        <w:rPr>
          <w:rFonts w:hint="eastAsia" w:ascii="楷体" w:hAnsi="楷体" w:eastAsia="楷体" w:cs="楷体"/>
          <w:sz w:val="32"/>
          <w:szCs w:val="32"/>
          <w:lang w:eastAsia="zh-CN"/>
        </w:rPr>
        <w:t>注册资本：</w:t>
      </w:r>
      <w:r>
        <w:rPr>
          <w:rFonts w:hint="eastAsia" w:ascii="仿宋_GB2312" w:eastAsia="仿宋_GB2312"/>
          <w:sz w:val="32"/>
          <w:szCs w:val="32"/>
          <w:lang w:eastAsia="zh-CN"/>
        </w:rPr>
        <w:t>66410</w:t>
      </w:r>
      <w:r>
        <w:rPr>
          <w:rFonts w:eastAsia="仿宋_GB2312"/>
          <w:sz w:val="32"/>
          <w:szCs w:val="32"/>
          <w:lang w:eastAsia="zh-CN"/>
        </w:rPr>
        <w:t>万元</w:t>
      </w:r>
    </w:p>
    <w:p w14:paraId="1B1FCF9F">
      <w:pPr>
        <w:spacing w:line="580" w:lineRule="exact"/>
        <w:ind w:firstLine="720" w:firstLineChars="225"/>
        <w:rPr>
          <w:rFonts w:ascii="仿宋" w:hAnsi="仿宋" w:eastAsia="仿宋" w:cs="仿宋"/>
          <w:sz w:val="32"/>
          <w:szCs w:val="32"/>
          <w:lang w:eastAsia="zh-CN"/>
        </w:rPr>
      </w:pPr>
      <w:r>
        <w:rPr>
          <w:rFonts w:hint="eastAsia" w:ascii="楷体" w:hAnsi="楷体" w:eastAsia="楷体" w:cs="楷体"/>
          <w:sz w:val="32"/>
          <w:szCs w:val="32"/>
          <w:lang w:eastAsia="zh-CN"/>
        </w:rPr>
        <w:t>公司类型：</w:t>
      </w:r>
      <w:r>
        <w:rPr>
          <w:rFonts w:hint="eastAsia" w:ascii="仿宋" w:hAnsi="仿宋" w:eastAsia="仿宋" w:cs="仿宋"/>
          <w:sz w:val="32"/>
          <w:szCs w:val="32"/>
          <w:lang w:eastAsia="zh-CN"/>
        </w:rPr>
        <w:t>有限责任公司</w:t>
      </w:r>
      <w:r>
        <w:rPr>
          <w:rFonts w:hint="eastAsia" w:ascii="仿宋" w:hAnsi="仿宋" w:eastAsia="仿宋" w:cs="仿宋"/>
          <w:sz w:val="32"/>
          <w:szCs w:val="32"/>
          <w:lang w:eastAsia="zh-CN"/>
        </w:rPr>
        <w:tab/>
      </w:r>
    </w:p>
    <w:p w14:paraId="731E6D3E">
      <w:pPr>
        <w:spacing w:line="580" w:lineRule="exact"/>
        <w:ind w:firstLine="720" w:firstLineChars="225"/>
        <w:rPr>
          <w:rFonts w:ascii="仿宋" w:hAnsi="仿宋" w:eastAsia="仿宋" w:cs="仿宋"/>
          <w:sz w:val="32"/>
          <w:szCs w:val="32"/>
          <w:lang w:eastAsia="zh-CN"/>
        </w:rPr>
      </w:pPr>
      <w:r>
        <w:rPr>
          <w:rFonts w:hint="eastAsia" w:ascii="楷体" w:hAnsi="楷体" w:eastAsia="楷体" w:cs="楷体"/>
          <w:sz w:val="32"/>
          <w:szCs w:val="32"/>
          <w:lang w:eastAsia="zh-CN"/>
        </w:rPr>
        <w:t>登记机关：</w:t>
      </w:r>
      <w:r>
        <w:rPr>
          <w:rFonts w:hint="eastAsia" w:ascii="仿宋" w:hAnsi="仿宋" w:eastAsia="仿宋" w:cs="仿宋"/>
          <w:sz w:val="32"/>
          <w:szCs w:val="32"/>
          <w:lang w:eastAsia="zh-CN"/>
        </w:rPr>
        <w:t>临沂市兰山区行政审批服务局</w:t>
      </w:r>
      <w:r>
        <w:rPr>
          <w:rFonts w:hint="eastAsia" w:ascii="仿宋" w:hAnsi="仿宋" w:eastAsia="仿宋" w:cs="仿宋"/>
          <w:sz w:val="32"/>
          <w:szCs w:val="32"/>
          <w:lang w:eastAsia="zh-CN"/>
        </w:rPr>
        <w:tab/>
      </w:r>
    </w:p>
    <w:p w14:paraId="60C2AC27">
      <w:pPr>
        <w:spacing w:line="580" w:lineRule="exact"/>
        <w:ind w:firstLine="720" w:firstLineChars="225"/>
        <w:rPr>
          <w:rFonts w:ascii="仿宋" w:hAnsi="仿宋" w:eastAsia="仿宋" w:cs="仿宋"/>
          <w:sz w:val="32"/>
          <w:szCs w:val="32"/>
          <w:lang w:eastAsia="zh-CN"/>
        </w:rPr>
      </w:pPr>
      <w:r>
        <w:rPr>
          <w:rFonts w:hint="eastAsia" w:ascii="楷体" w:hAnsi="楷体" w:eastAsia="楷体" w:cs="楷体"/>
          <w:sz w:val="32"/>
          <w:szCs w:val="32"/>
          <w:lang w:eastAsia="zh-CN"/>
        </w:rPr>
        <w:t>注册地址：</w:t>
      </w:r>
      <w:r>
        <w:rPr>
          <w:rFonts w:hint="eastAsia" w:ascii="仿宋" w:hAnsi="仿宋" w:eastAsia="仿宋" w:cs="仿宋"/>
          <w:sz w:val="32"/>
          <w:szCs w:val="32"/>
          <w:lang w:eastAsia="zh-CN"/>
        </w:rPr>
        <w:t>山东省临沂市兰山区柳青街道沂蒙北路与南京路交汇处山东高速临沂大厦7、8、9层</w:t>
      </w:r>
    </w:p>
    <w:p w14:paraId="6B6ECE07">
      <w:pPr>
        <w:spacing w:line="580" w:lineRule="exact"/>
        <w:ind w:firstLine="720" w:firstLineChars="225"/>
        <w:rPr>
          <w:rFonts w:ascii="仿宋" w:hAnsi="仿宋" w:eastAsia="仿宋" w:cs="仿宋"/>
          <w:sz w:val="32"/>
          <w:szCs w:val="32"/>
          <w:lang w:eastAsia="zh-CN"/>
        </w:rPr>
      </w:pPr>
      <w:r>
        <w:rPr>
          <w:rFonts w:hint="eastAsia" w:ascii="楷体" w:hAnsi="楷体" w:eastAsia="楷体" w:cs="楷体"/>
          <w:sz w:val="32"/>
          <w:szCs w:val="32"/>
          <w:lang w:eastAsia="zh-CN"/>
        </w:rPr>
        <w:t>经营范围：</w:t>
      </w:r>
      <w:r>
        <w:rPr>
          <w:rFonts w:hint="eastAsia" w:ascii="仿宋_GB2312" w:eastAsia="仿宋_GB2312"/>
          <w:bCs/>
          <w:sz w:val="32"/>
          <w:szCs w:val="32"/>
          <w:lang w:eastAsia="zh-CN"/>
        </w:rPr>
        <w:t>东平铁路的建设和客货运输，物资供销与仓储（不含危险化学品和国家限制商品）、</w:t>
      </w:r>
      <w:r>
        <w:rPr>
          <w:rFonts w:hint="eastAsia" w:ascii="仿宋_GB2312" w:eastAsia="仿宋_GB2312"/>
          <w:sz w:val="32"/>
          <w:szCs w:val="32"/>
          <w:lang w:eastAsia="zh-CN"/>
        </w:rPr>
        <w:t>矿业产品开发与销售，</w:t>
      </w:r>
      <w:r>
        <w:rPr>
          <w:rFonts w:hint="eastAsia" w:ascii="仿宋_GB2312" w:eastAsia="仿宋_GB2312"/>
          <w:bCs/>
          <w:sz w:val="32"/>
          <w:szCs w:val="32"/>
          <w:lang w:eastAsia="zh-CN"/>
        </w:rPr>
        <w:t>房地产开发（凭资质经营），物业管理。</w:t>
      </w:r>
      <w:r>
        <w:rPr>
          <w:rFonts w:hint="eastAsia" w:ascii="仿宋" w:hAnsi="仿宋" w:eastAsia="仿宋" w:cs="仿宋"/>
          <w:sz w:val="32"/>
          <w:szCs w:val="32"/>
          <w:lang w:eastAsia="zh-CN"/>
        </w:rPr>
        <w:t>（依法须经批准的项目，经相关部门批准后方可开展经营活动）</w:t>
      </w:r>
    </w:p>
    <w:p w14:paraId="124E4655">
      <w:pPr>
        <w:spacing w:line="580" w:lineRule="exact"/>
        <w:ind w:firstLine="720" w:firstLineChars="225"/>
        <w:rPr>
          <w:rFonts w:ascii="黑体" w:hAnsi="黑体" w:eastAsia="黑体" w:cs="黑体"/>
          <w:sz w:val="32"/>
          <w:szCs w:val="32"/>
          <w:lang w:eastAsia="zh-CN"/>
        </w:rPr>
      </w:pPr>
      <w:r>
        <w:rPr>
          <w:rFonts w:hint="eastAsia" w:ascii="黑体" w:hAnsi="黑体" w:eastAsia="黑体" w:cs="黑体"/>
          <w:sz w:val="32"/>
          <w:szCs w:val="32"/>
          <w:lang w:eastAsia="zh-CN"/>
        </w:rPr>
        <w:t>（三）股东（发起人）信息</w:t>
      </w:r>
    </w:p>
    <w:p w14:paraId="40C5A2D9">
      <w:pPr>
        <w:snapToGrid w:val="0"/>
        <w:spacing w:line="580" w:lineRule="exact"/>
        <w:ind w:firstLine="720" w:firstLineChars="225"/>
        <w:rPr>
          <w:rFonts w:ascii="仿宋_GB2312" w:eastAsia="仿宋_GB2312"/>
          <w:sz w:val="32"/>
          <w:szCs w:val="32"/>
          <w:lang w:eastAsia="zh-CN"/>
        </w:rPr>
      </w:pPr>
      <w:r>
        <w:rPr>
          <w:rFonts w:hint="eastAsia" w:ascii="仿宋_GB2312" w:hAnsi="黑体" w:eastAsia="仿宋_GB2312"/>
          <w:sz w:val="32"/>
          <w:szCs w:val="28"/>
          <w:lang w:eastAsia="zh-CN"/>
        </w:rPr>
        <w:t>山东铁路有限公司，</w:t>
      </w:r>
      <w:r>
        <w:rPr>
          <w:rFonts w:hint="eastAsia" w:ascii="仿宋_GB2312" w:hAnsi="宋体" w:eastAsia="仿宋_GB2312"/>
          <w:sz w:val="32"/>
          <w:szCs w:val="32"/>
          <w:lang w:eastAsia="zh-CN"/>
        </w:rPr>
        <w:t>认缴出资</w:t>
      </w:r>
      <w:r>
        <w:rPr>
          <w:rFonts w:hint="eastAsia" w:ascii="仿宋_GB2312" w:eastAsia="仿宋_GB2312"/>
          <w:sz w:val="32"/>
          <w:szCs w:val="32"/>
          <w:lang w:eastAsia="zh-CN"/>
        </w:rPr>
        <w:t>17270</w:t>
      </w:r>
      <w:r>
        <w:rPr>
          <w:rFonts w:hint="eastAsia" w:ascii="仿宋_GB2312" w:hAnsi="宋体" w:eastAsia="仿宋_GB2312"/>
          <w:sz w:val="32"/>
          <w:szCs w:val="32"/>
          <w:lang w:eastAsia="zh-CN"/>
        </w:rPr>
        <w:t>万元</w:t>
      </w:r>
      <w:r>
        <w:rPr>
          <w:rFonts w:hint="eastAsia" w:ascii="仿宋_GB2312" w:eastAsia="仿宋_GB2312"/>
          <w:sz w:val="32"/>
          <w:szCs w:val="32"/>
          <w:lang w:eastAsia="zh-CN"/>
        </w:rPr>
        <w:t>,</w:t>
      </w:r>
      <w:r>
        <w:rPr>
          <w:rFonts w:hint="eastAsia" w:ascii="仿宋_GB2312" w:hAnsi="宋体" w:eastAsia="仿宋_GB2312"/>
          <w:sz w:val="32"/>
          <w:szCs w:val="32"/>
          <w:lang w:eastAsia="zh-CN"/>
        </w:rPr>
        <w:t>占公司注册资本的</w:t>
      </w:r>
      <w:r>
        <w:rPr>
          <w:rFonts w:hint="eastAsia" w:ascii="仿宋_GB2312" w:eastAsia="仿宋_GB2312"/>
          <w:sz w:val="32"/>
          <w:szCs w:val="32"/>
          <w:lang w:eastAsia="zh-CN"/>
        </w:rPr>
        <w:t>26</w:t>
      </w:r>
      <w:r>
        <w:rPr>
          <w:rFonts w:hint="eastAsia" w:ascii="仿宋_GB2312" w:hAnsi="宋体" w:eastAsia="仿宋_GB2312"/>
          <w:sz w:val="32"/>
          <w:szCs w:val="32"/>
          <w:lang w:eastAsia="zh-CN"/>
        </w:rPr>
        <w:t>％；</w:t>
      </w:r>
    </w:p>
    <w:p w14:paraId="1D1F59FF">
      <w:pPr>
        <w:snapToGrid w:val="0"/>
        <w:spacing w:line="580" w:lineRule="exact"/>
        <w:ind w:firstLine="720" w:firstLineChars="225"/>
        <w:rPr>
          <w:rFonts w:ascii="仿宋_GB2312" w:eastAsia="仿宋_GB2312"/>
          <w:sz w:val="32"/>
          <w:szCs w:val="32"/>
          <w:lang w:eastAsia="zh-CN"/>
        </w:rPr>
      </w:pPr>
      <w:r>
        <w:rPr>
          <w:rFonts w:hint="eastAsia" w:ascii="仿宋_GB2312" w:hAnsi="仿宋_GB2312" w:eastAsia="仿宋_GB2312" w:cs="仿宋_GB2312"/>
          <w:sz w:val="32"/>
          <w:szCs w:val="32"/>
          <w:lang w:eastAsia="zh-CN"/>
        </w:rPr>
        <w:t>山钢</w:t>
      </w:r>
      <w:r>
        <w:rPr>
          <w:rFonts w:hint="eastAsia" w:ascii="仿宋_GB2312" w:hAnsi="仿宋_GB2312" w:eastAsia="仿宋_GB2312" w:cs="仿宋_GB2312"/>
          <w:sz w:val="32"/>
          <w:szCs w:val="32"/>
          <w:lang w:val="en-US" w:eastAsia="zh-CN"/>
        </w:rPr>
        <w:t>资本</w:t>
      </w:r>
      <w:r>
        <w:rPr>
          <w:rFonts w:hint="eastAsia" w:ascii="仿宋_GB2312" w:hAnsi="仿宋_GB2312" w:eastAsia="仿宋_GB2312" w:cs="仿宋_GB2312"/>
          <w:sz w:val="32"/>
          <w:szCs w:val="32"/>
          <w:lang w:eastAsia="zh-CN"/>
        </w:rPr>
        <w:t>控股（深圳）有限公司</w:t>
      </w:r>
      <w:r>
        <w:rPr>
          <w:rFonts w:hint="eastAsia" w:ascii="仿宋_GB2312" w:hAnsi="黑体" w:eastAsia="仿宋_GB2312"/>
          <w:sz w:val="32"/>
          <w:szCs w:val="28"/>
          <w:lang w:eastAsia="zh-CN"/>
        </w:rPr>
        <w:t>，</w:t>
      </w:r>
      <w:r>
        <w:rPr>
          <w:rFonts w:hint="eastAsia" w:ascii="仿宋_GB2312" w:hAnsi="宋体" w:eastAsia="仿宋_GB2312"/>
          <w:sz w:val="32"/>
          <w:szCs w:val="32"/>
          <w:lang w:eastAsia="zh-CN"/>
        </w:rPr>
        <w:t>认缴出资</w:t>
      </w:r>
      <w:r>
        <w:rPr>
          <w:rFonts w:hint="eastAsia" w:ascii="仿宋_GB2312" w:eastAsia="仿宋_GB2312"/>
          <w:sz w:val="32"/>
          <w:szCs w:val="32"/>
          <w:lang w:eastAsia="zh-CN"/>
        </w:rPr>
        <w:t>16600</w:t>
      </w:r>
      <w:r>
        <w:rPr>
          <w:rFonts w:hint="eastAsia" w:ascii="仿宋_GB2312" w:hAnsi="宋体" w:eastAsia="仿宋_GB2312"/>
          <w:sz w:val="32"/>
          <w:szCs w:val="32"/>
          <w:lang w:eastAsia="zh-CN"/>
        </w:rPr>
        <w:t>万元</w:t>
      </w:r>
      <w:r>
        <w:rPr>
          <w:rFonts w:hint="eastAsia" w:ascii="仿宋_GB2312" w:eastAsia="仿宋_GB2312"/>
          <w:sz w:val="32"/>
          <w:szCs w:val="32"/>
          <w:lang w:eastAsia="zh-CN"/>
        </w:rPr>
        <w:t>,</w:t>
      </w:r>
      <w:r>
        <w:rPr>
          <w:rFonts w:hint="eastAsia" w:ascii="仿宋_GB2312" w:hAnsi="宋体" w:eastAsia="仿宋_GB2312"/>
          <w:sz w:val="32"/>
          <w:szCs w:val="32"/>
          <w:lang w:eastAsia="zh-CN"/>
        </w:rPr>
        <w:t>占公司注册资本的</w:t>
      </w:r>
      <w:r>
        <w:rPr>
          <w:rFonts w:hint="eastAsia" w:ascii="仿宋_GB2312" w:eastAsia="仿宋_GB2312"/>
          <w:sz w:val="32"/>
          <w:szCs w:val="32"/>
          <w:lang w:eastAsia="zh-CN"/>
        </w:rPr>
        <w:t>25</w:t>
      </w:r>
      <w:r>
        <w:rPr>
          <w:rFonts w:hint="eastAsia" w:ascii="仿宋_GB2312" w:hAnsi="宋体" w:eastAsia="仿宋_GB2312"/>
          <w:sz w:val="32"/>
          <w:szCs w:val="32"/>
          <w:lang w:eastAsia="zh-CN"/>
        </w:rPr>
        <w:t>％；</w:t>
      </w:r>
    </w:p>
    <w:p w14:paraId="38D8D6CA">
      <w:pPr>
        <w:snapToGrid w:val="0"/>
        <w:spacing w:line="580" w:lineRule="exact"/>
        <w:ind w:firstLine="720" w:firstLineChars="225"/>
        <w:rPr>
          <w:rFonts w:ascii="仿宋_GB2312" w:eastAsia="仿宋_GB2312"/>
          <w:sz w:val="32"/>
          <w:szCs w:val="32"/>
          <w:lang w:eastAsia="zh-CN"/>
        </w:rPr>
      </w:pPr>
      <w:r>
        <w:rPr>
          <w:rFonts w:hint="eastAsia" w:ascii="仿宋_GB2312" w:eastAsia="仿宋_GB2312"/>
          <w:sz w:val="32"/>
          <w:szCs w:val="32"/>
          <w:lang w:eastAsia="zh-CN"/>
        </w:rPr>
        <w:t>新汶矿业集团有限责任公司</w:t>
      </w:r>
      <w:r>
        <w:rPr>
          <w:rFonts w:hint="eastAsia" w:ascii="仿宋_GB2312" w:hAnsi="黑体" w:eastAsia="仿宋_GB2312"/>
          <w:sz w:val="32"/>
          <w:szCs w:val="28"/>
          <w:lang w:eastAsia="zh-CN"/>
        </w:rPr>
        <w:t>，</w:t>
      </w:r>
      <w:r>
        <w:rPr>
          <w:rFonts w:hint="eastAsia" w:ascii="仿宋_GB2312" w:hAnsi="宋体" w:eastAsia="仿宋_GB2312"/>
          <w:sz w:val="32"/>
          <w:szCs w:val="32"/>
          <w:lang w:eastAsia="zh-CN"/>
        </w:rPr>
        <w:t>认缴出资</w:t>
      </w:r>
      <w:r>
        <w:rPr>
          <w:rFonts w:hint="eastAsia" w:ascii="仿宋_GB2312" w:eastAsia="仿宋_GB2312"/>
          <w:sz w:val="32"/>
          <w:szCs w:val="32"/>
          <w:lang w:eastAsia="zh-CN"/>
        </w:rPr>
        <w:t>16600</w:t>
      </w:r>
      <w:r>
        <w:rPr>
          <w:rFonts w:hint="eastAsia" w:ascii="仿宋_GB2312" w:hAnsi="宋体" w:eastAsia="仿宋_GB2312"/>
          <w:sz w:val="32"/>
          <w:szCs w:val="32"/>
          <w:lang w:eastAsia="zh-CN"/>
        </w:rPr>
        <w:t>万元</w:t>
      </w:r>
      <w:r>
        <w:rPr>
          <w:rFonts w:hint="eastAsia" w:ascii="仿宋_GB2312" w:eastAsia="仿宋_GB2312"/>
          <w:sz w:val="32"/>
          <w:szCs w:val="32"/>
          <w:lang w:eastAsia="zh-CN"/>
        </w:rPr>
        <w:t>,</w:t>
      </w:r>
      <w:r>
        <w:rPr>
          <w:rFonts w:hint="eastAsia" w:ascii="仿宋_GB2312" w:hAnsi="宋体" w:eastAsia="仿宋_GB2312"/>
          <w:sz w:val="32"/>
          <w:szCs w:val="32"/>
          <w:lang w:eastAsia="zh-CN"/>
        </w:rPr>
        <w:t>占公司注册资本的</w:t>
      </w:r>
      <w:r>
        <w:rPr>
          <w:rFonts w:hint="eastAsia" w:ascii="仿宋_GB2312" w:eastAsia="仿宋_GB2312"/>
          <w:sz w:val="32"/>
          <w:szCs w:val="32"/>
          <w:lang w:eastAsia="zh-CN"/>
        </w:rPr>
        <w:t>25</w:t>
      </w:r>
      <w:r>
        <w:rPr>
          <w:rFonts w:hint="eastAsia" w:ascii="仿宋_GB2312" w:hAnsi="宋体" w:eastAsia="仿宋_GB2312"/>
          <w:sz w:val="32"/>
          <w:szCs w:val="32"/>
          <w:lang w:eastAsia="zh-CN"/>
        </w:rPr>
        <w:t>％；</w:t>
      </w:r>
    </w:p>
    <w:p w14:paraId="42AA5BD3">
      <w:pPr>
        <w:spacing w:line="580" w:lineRule="exact"/>
        <w:ind w:firstLine="720" w:firstLineChars="225"/>
        <w:rPr>
          <w:rFonts w:ascii="仿宋" w:hAnsi="仿宋" w:eastAsia="仿宋" w:cs="仿宋"/>
          <w:sz w:val="32"/>
          <w:szCs w:val="32"/>
          <w:lang w:eastAsia="zh-CN"/>
        </w:rPr>
      </w:pPr>
      <w:r>
        <w:rPr>
          <w:rFonts w:hint="eastAsia" w:ascii="仿宋_GB2312" w:eastAsia="仿宋_GB2312"/>
          <w:sz w:val="32"/>
          <w:szCs w:val="32"/>
          <w:lang w:eastAsia="zh-CN"/>
        </w:rPr>
        <w:t>日照港股份有限公司</w:t>
      </w:r>
      <w:r>
        <w:rPr>
          <w:rFonts w:hint="eastAsia" w:ascii="仿宋_GB2312" w:hAnsi="黑体" w:eastAsia="仿宋_GB2312"/>
          <w:sz w:val="32"/>
          <w:szCs w:val="28"/>
          <w:lang w:eastAsia="zh-CN"/>
        </w:rPr>
        <w:t>，</w:t>
      </w:r>
      <w:r>
        <w:rPr>
          <w:rFonts w:hint="eastAsia" w:ascii="仿宋_GB2312" w:hAnsi="宋体" w:eastAsia="仿宋_GB2312"/>
          <w:sz w:val="32"/>
          <w:szCs w:val="32"/>
          <w:lang w:eastAsia="zh-CN"/>
        </w:rPr>
        <w:t>认缴出资</w:t>
      </w:r>
      <w:r>
        <w:rPr>
          <w:rFonts w:hint="eastAsia" w:ascii="仿宋_GB2312" w:eastAsia="仿宋_GB2312"/>
          <w:sz w:val="32"/>
          <w:szCs w:val="32"/>
          <w:lang w:eastAsia="zh-CN"/>
        </w:rPr>
        <w:t>15940</w:t>
      </w:r>
      <w:r>
        <w:rPr>
          <w:rFonts w:hint="eastAsia" w:ascii="仿宋_GB2312" w:hAnsi="宋体" w:eastAsia="仿宋_GB2312"/>
          <w:sz w:val="32"/>
          <w:szCs w:val="32"/>
          <w:lang w:eastAsia="zh-CN"/>
        </w:rPr>
        <w:t>万元</w:t>
      </w:r>
      <w:r>
        <w:rPr>
          <w:rFonts w:hint="eastAsia" w:ascii="仿宋_GB2312" w:eastAsia="仿宋_GB2312"/>
          <w:sz w:val="32"/>
          <w:szCs w:val="32"/>
          <w:lang w:eastAsia="zh-CN"/>
        </w:rPr>
        <w:t>,</w:t>
      </w:r>
      <w:r>
        <w:rPr>
          <w:rFonts w:hint="eastAsia" w:ascii="仿宋_GB2312" w:hAnsi="宋体" w:eastAsia="仿宋_GB2312"/>
          <w:sz w:val="32"/>
          <w:szCs w:val="32"/>
          <w:lang w:eastAsia="zh-CN"/>
        </w:rPr>
        <w:t>占公司注册资本的</w:t>
      </w:r>
      <w:r>
        <w:rPr>
          <w:rFonts w:hint="eastAsia" w:ascii="仿宋_GB2312" w:eastAsia="仿宋_GB2312"/>
          <w:sz w:val="32"/>
          <w:szCs w:val="32"/>
          <w:lang w:eastAsia="zh-CN"/>
        </w:rPr>
        <w:t>24</w:t>
      </w:r>
      <w:r>
        <w:rPr>
          <w:rFonts w:hint="eastAsia" w:ascii="仿宋_GB2312" w:hAnsi="宋体" w:eastAsia="仿宋_GB2312"/>
          <w:sz w:val="32"/>
          <w:szCs w:val="32"/>
          <w:lang w:eastAsia="zh-CN"/>
        </w:rPr>
        <w:t>％。</w:t>
      </w:r>
    </w:p>
    <w:p w14:paraId="52A857D8">
      <w:pPr>
        <w:ind w:firstLine="720" w:firstLineChars="225"/>
        <w:rPr>
          <w:rFonts w:ascii="黑体" w:hAnsi="黑体" w:eastAsia="黑体" w:cs="黑体"/>
          <w:sz w:val="32"/>
          <w:szCs w:val="32"/>
          <w:lang w:eastAsia="zh-CN"/>
        </w:rPr>
      </w:pPr>
      <w:r>
        <w:rPr>
          <w:rFonts w:hint="eastAsia" w:ascii="黑体" w:hAnsi="黑体" w:eastAsia="黑体" w:cs="黑体"/>
          <w:sz w:val="32"/>
          <w:szCs w:val="32"/>
          <w:lang w:eastAsia="zh-CN"/>
        </w:rPr>
        <w:t>（四）公司治理及主要人员信息</w:t>
      </w:r>
    </w:p>
    <w:p w14:paraId="17F54346">
      <w:pPr>
        <w:ind w:firstLine="720" w:firstLineChars="225"/>
        <w:rPr>
          <w:rFonts w:ascii="黑体" w:hAnsi="黑体" w:eastAsia="黑体" w:cs="黑体"/>
          <w:sz w:val="32"/>
          <w:szCs w:val="32"/>
          <w:lang w:eastAsia="zh-CN"/>
        </w:rPr>
      </w:pPr>
    </w:p>
    <w:tbl>
      <w:tblPr>
        <w:tblStyle w:val="4"/>
        <w:tblW w:w="813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271"/>
        <w:gridCol w:w="2715"/>
        <w:gridCol w:w="3150"/>
      </w:tblGrid>
      <w:tr w14:paraId="45FBA2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00" w:hRule="atLeast"/>
          <w:jc w:val="center"/>
        </w:trPr>
        <w:tc>
          <w:tcPr>
            <w:tcW w:w="2271" w:type="dxa"/>
            <w:vMerge w:val="restart"/>
            <w:tcBorders>
              <w:tl2br w:val="nil"/>
              <w:tr2bl w:val="nil"/>
            </w:tcBorders>
            <w:shd w:val="clear" w:color="auto" w:fill="auto"/>
            <w:tcMar>
              <w:top w:w="15" w:type="dxa"/>
              <w:left w:w="15" w:type="dxa"/>
              <w:right w:w="15" w:type="dxa"/>
            </w:tcMar>
            <w:vAlign w:val="center"/>
          </w:tcPr>
          <w:p w14:paraId="57CDA08E">
            <w:pPr>
              <w:widowControl/>
              <w:jc w:val="center"/>
              <w:textAlignment w:val="center"/>
              <w:rPr>
                <w:rFonts w:ascii="仿宋" w:hAnsi="仿宋" w:eastAsia="仿宋" w:cs="仿宋"/>
                <w:b/>
                <w:sz w:val="28"/>
                <w:szCs w:val="28"/>
              </w:rPr>
            </w:pPr>
            <w:r>
              <w:rPr>
                <w:rFonts w:hint="eastAsia" w:ascii="仿宋" w:hAnsi="仿宋" w:eastAsia="仿宋" w:cs="仿宋"/>
                <w:b/>
                <w:sz w:val="28"/>
                <w:szCs w:val="28"/>
              </w:rPr>
              <w:t>董事会组成</w:t>
            </w:r>
          </w:p>
        </w:tc>
        <w:tc>
          <w:tcPr>
            <w:tcW w:w="2715" w:type="dxa"/>
            <w:tcBorders>
              <w:tl2br w:val="nil"/>
              <w:tr2bl w:val="nil"/>
            </w:tcBorders>
            <w:shd w:val="clear" w:color="auto" w:fill="auto"/>
            <w:tcMar>
              <w:top w:w="15" w:type="dxa"/>
              <w:left w:w="15" w:type="dxa"/>
              <w:right w:w="15" w:type="dxa"/>
            </w:tcMar>
            <w:vAlign w:val="center"/>
          </w:tcPr>
          <w:p w14:paraId="230DE77F">
            <w:pPr>
              <w:widowControl/>
              <w:jc w:val="center"/>
              <w:textAlignment w:val="center"/>
              <w:rPr>
                <w:rFonts w:ascii="仿宋" w:hAnsi="仿宋" w:eastAsia="仿宋" w:cs="仿宋"/>
                <w:b/>
                <w:sz w:val="28"/>
                <w:szCs w:val="28"/>
              </w:rPr>
            </w:pPr>
            <w:r>
              <w:rPr>
                <w:rFonts w:hint="eastAsia" w:ascii="仿宋" w:hAnsi="仿宋" w:eastAsia="仿宋" w:cs="仿宋"/>
                <w:b/>
                <w:sz w:val="28"/>
                <w:szCs w:val="28"/>
              </w:rPr>
              <w:t>姓名</w:t>
            </w:r>
          </w:p>
        </w:tc>
        <w:tc>
          <w:tcPr>
            <w:tcW w:w="3150" w:type="dxa"/>
            <w:tcBorders>
              <w:tl2br w:val="nil"/>
              <w:tr2bl w:val="nil"/>
            </w:tcBorders>
            <w:shd w:val="clear" w:color="auto" w:fill="auto"/>
            <w:tcMar>
              <w:top w:w="15" w:type="dxa"/>
              <w:left w:w="15" w:type="dxa"/>
              <w:right w:w="15" w:type="dxa"/>
            </w:tcMar>
            <w:vAlign w:val="center"/>
          </w:tcPr>
          <w:p w14:paraId="1ABF2411">
            <w:pPr>
              <w:widowControl/>
              <w:jc w:val="center"/>
              <w:textAlignment w:val="center"/>
              <w:rPr>
                <w:rFonts w:ascii="仿宋" w:hAnsi="仿宋" w:eastAsia="仿宋" w:cs="仿宋"/>
                <w:b/>
                <w:sz w:val="28"/>
                <w:szCs w:val="28"/>
              </w:rPr>
            </w:pPr>
            <w:r>
              <w:rPr>
                <w:rFonts w:hint="eastAsia" w:ascii="仿宋" w:hAnsi="仿宋" w:eastAsia="仿宋" w:cs="仿宋"/>
                <w:b/>
                <w:sz w:val="28"/>
                <w:szCs w:val="28"/>
              </w:rPr>
              <w:t>职务</w:t>
            </w:r>
          </w:p>
        </w:tc>
      </w:tr>
      <w:tr w14:paraId="6377E6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2E998E39">
            <w:pPr>
              <w:jc w:val="center"/>
              <w:rPr>
                <w:rFonts w:ascii="仿宋" w:hAnsi="仿宋" w:eastAsia="仿宋" w:cs="仿宋"/>
                <w:b/>
                <w:sz w:val="28"/>
                <w:szCs w:val="28"/>
              </w:rPr>
            </w:pPr>
          </w:p>
        </w:tc>
        <w:tc>
          <w:tcPr>
            <w:tcW w:w="2715" w:type="dxa"/>
            <w:tcBorders>
              <w:tl2br w:val="nil"/>
              <w:tr2bl w:val="nil"/>
            </w:tcBorders>
            <w:shd w:val="clear" w:color="auto" w:fill="auto"/>
            <w:tcMar>
              <w:top w:w="15" w:type="dxa"/>
              <w:left w:w="15" w:type="dxa"/>
              <w:right w:w="15" w:type="dxa"/>
            </w:tcMar>
            <w:vAlign w:val="center"/>
          </w:tcPr>
          <w:p w14:paraId="0DFB01A4">
            <w:pPr>
              <w:widowControl/>
              <w:jc w:val="center"/>
              <w:textAlignment w:val="center"/>
              <w:rPr>
                <w:rFonts w:ascii="仿宋" w:hAnsi="仿宋" w:eastAsia="仿宋" w:cs="仿宋"/>
                <w:sz w:val="28"/>
                <w:szCs w:val="28"/>
              </w:rPr>
            </w:pPr>
            <w:r>
              <w:rPr>
                <w:rFonts w:hint="eastAsia" w:ascii="仿宋" w:hAnsi="仿宋" w:eastAsia="仿宋" w:cs="仿宋"/>
                <w:sz w:val="28"/>
                <w:szCs w:val="28"/>
              </w:rPr>
              <w:t>王炎义</w:t>
            </w:r>
          </w:p>
        </w:tc>
        <w:tc>
          <w:tcPr>
            <w:tcW w:w="3150" w:type="dxa"/>
            <w:tcBorders>
              <w:tl2br w:val="nil"/>
              <w:tr2bl w:val="nil"/>
            </w:tcBorders>
            <w:shd w:val="clear" w:color="auto" w:fill="auto"/>
            <w:tcMar>
              <w:top w:w="15" w:type="dxa"/>
              <w:left w:w="15" w:type="dxa"/>
              <w:right w:w="15" w:type="dxa"/>
            </w:tcMar>
            <w:vAlign w:val="center"/>
          </w:tcPr>
          <w:p w14:paraId="080BC631">
            <w:pPr>
              <w:widowControl/>
              <w:jc w:val="center"/>
              <w:textAlignment w:val="center"/>
              <w:rPr>
                <w:rFonts w:ascii="仿宋" w:hAnsi="仿宋" w:eastAsia="仿宋" w:cs="仿宋"/>
                <w:sz w:val="28"/>
                <w:szCs w:val="28"/>
              </w:rPr>
            </w:pPr>
            <w:r>
              <w:rPr>
                <w:rFonts w:hint="eastAsia" w:ascii="仿宋" w:hAnsi="仿宋" w:eastAsia="仿宋" w:cs="仿宋"/>
                <w:sz w:val="28"/>
                <w:szCs w:val="28"/>
              </w:rPr>
              <w:t>董事长</w:t>
            </w:r>
          </w:p>
        </w:tc>
      </w:tr>
      <w:tr w14:paraId="615031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1AAE3402">
            <w:pPr>
              <w:jc w:val="center"/>
              <w:rPr>
                <w:rFonts w:ascii="仿宋" w:hAnsi="仿宋" w:eastAsia="仿宋" w:cs="仿宋"/>
                <w:b/>
                <w:sz w:val="28"/>
                <w:szCs w:val="28"/>
              </w:rPr>
            </w:pPr>
          </w:p>
        </w:tc>
        <w:tc>
          <w:tcPr>
            <w:tcW w:w="2715" w:type="dxa"/>
            <w:tcBorders>
              <w:tl2br w:val="nil"/>
              <w:tr2bl w:val="nil"/>
            </w:tcBorders>
            <w:shd w:val="clear" w:color="auto" w:fill="auto"/>
            <w:tcMar>
              <w:top w:w="15" w:type="dxa"/>
              <w:left w:w="15" w:type="dxa"/>
              <w:right w:w="15" w:type="dxa"/>
            </w:tcMar>
            <w:vAlign w:val="center"/>
          </w:tcPr>
          <w:p w14:paraId="1C794C58">
            <w:pPr>
              <w:widowControl/>
              <w:jc w:val="center"/>
              <w:textAlignment w:val="center"/>
              <w:rPr>
                <w:rFonts w:ascii="仿宋" w:hAnsi="仿宋" w:eastAsia="仿宋" w:cs="仿宋"/>
                <w:sz w:val="28"/>
                <w:szCs w:val="28"/>
              </w:rPr>
            </w:pPr>
            <w:r>
              <w:rPr>
                <w:rFonts w:hint="eastAsia" w:ascii="仿宋" w:hAnsi="仿宋" w:eastAsia="仿宋" w:cs="仿宋"/>
                <w:sz w:val="28"/>
                <w:szCs w:val="28"/>
              </w:rPr>
              <w:t>陈肖鸿</w:t>
            </w:r>
          </w:p>
        </w:tc>
        <w:tc>
          <w:tcPr>
            <w:tcW w:w="3150" w:type="dxa"/>
            <w:tcBorders>
              <w:tl2br w:val="nil"/>
              <w:tr2bl w:val="nil"/>
            </w:tcBorders>
            <w:shd w:val="clear" w:color="auto" w:fill="auto"/>
            <w:tcMar>
              <w:top w:w="15" w:type="dxa"/>
              <w:left w:w="15" w:type="dxa"/>
              <w:right w:w="15" w:type="dxa"/>
            </w:tcMar>
            <w:vAlign w:val="center"/>
          </w:tcPr>
          <w:p w14:paraId="0CCC3B95">
            <w:pPr>
              <w:widowControl/>
              <w:jc w:val="center"/>
              <w:textAlignment w:val="center"/>
              <w:rPr>
                <w:rFonts w:ascii="仿宋" w:hAnsi="仿宋" w:eastAsia="仿宋" w:cs="仿宋"/>
                <w:sz w:val="28"/>
                <w:szCs w:val="28"/>
              </w:rPr>
            </w:pPr>
            <w:r>
              <w:rPr>
                <w:rFonts w:hint="eastAsia" w:ascii="仿宋" w:hAnsi="仿宋" w:eastAsia="仿宋" w:cs="仿宋"/>
                <w:sz w:val="28"/>
                <w:szCs w:val="28"/>
              </w:rPr>
              <w:t>副董事长</w:t>
            </w:r>
          </w:p>
        </w:tc>
      </w:tr>
      <w:tr w14:paraId="0F06AD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292150FA">
            <w:pPr>
              <w:jc w:val="center"/>
              <w:rPr>
                <w:rFonts w:ascii="仿宋" w:hAnsi="仿宋" w:eastAsia="仿宋" w:cs="仿宋"/>
                <w:b/>
                <w:sz w:val="28"/>
                <w:szCs w:val="28"/>
              </w:rPr>
            </w:pPr>
          </w:p>
        </w:tc>
        <w:tc>
          <w:tcPr>
            <w:tcW w:w="2715" w:type="dxa"/>
            <w:tcBorders>
              <w:tl2br w:val="nil"/>
              <w:tr2bl w:val="nil"/>
            </w:tcBorders>
            <w:shd w:val="clear" w:color="auto" w:fill="auto"/>
            <w:tcMar>
              <w:top w:w="15" w:type="dxa"/>
              <w:left w:w="15" w:type="dxa"/>
              <w:right w:w="15" w:type="dxa"/>
            </w:tcMar>
            <w:vAlign w:val="center"/>
          </w:tcPr>
          <w:p w14:paraId="4A27E0AF">
            <w:pPr>
              <w:widowControl/>
              <w:jc w:val="center"/>
              <w:textAlignment w:val="center"/>
              <w:rPr>
                <w:rFonts w:ascii="仿宋" w:hAnsi="仿宋" w:eastAsia="仿宋" w:cs="仿宋"/>
                <w:sz w:val="28"/>
                <w:szCs w:val="28"/>
              </w:rPr>
            </w:pPr>
            <w:r>
              <w:rPr>
                <w:rFonts w:hint="eastAsia" w:ascii="仿宋" w:hAnsi="仿宋" w:eastAsia="仿宋" w:cs="仿宋"/>
                <w:sz w:val="28"/>
                <w:szCs w:val="28"/>
              </w:rPr>
              <w:t>张磊</w:t>
            </w:r>
          </w:p>
        </w:tc>
        <w:tc>
          <w:tcPr>
            <w:tcW w:w="3150" w:type="dxa"/>
            <w:tcBorders>
              <w:tl2br w:val="nil"/>
              <w:tr2bl w:val="nil"/>
            </w:tcBorders>
            <w:shd w:val="clear" w:color="auto" w:fill="auto"/>
            <w:tcMar>
              <w:top w:w="15" w:type="dxa"/>
              <w:left w:w="15" w:type="dxa"/>
              <w:right w:w="15" w:type="dxa"/>
            </w:tcMar>
            <w:vAlign w:val="center"/>
          </w:tcPr>
          <w:p w14:paraId="417D5AA7">
            <w:pPr>
              <w:widowControl/>
              <w:jc w:val="center"/>
              <w:textAlignment w:val="center"/>
              <w:rPr>
                <w:rFonts w:ascii="仿宋" w:hAnsi="仿宋" w:eastAsia="仿宋" w:cs="仿宋"/>
                <w:sz w:val="28"/>
                <w:szCs w:val="28"/>
              </w:rPr>
            </w:pPr>
            <w:r>
              <w:rPr>
                <w:rFonts w:hint="eastAsia" w:ascii="仿宋" w:hAnsi="仿宋" w:eastAsia="仿宋" w:cs="仿宋"/>
                <w:sz w:val="28"/>
                <w:szCs w:val="28"/>
              </w:rPr>
              <w:t>副董事长</w:t>
            </w:r>
          </w:p>
        </w:tc>
      </w:tr>
      <w:tr w14:paraId="27DB41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47D17CBA">
            <w:pPr>
              <w:jc w:val="center"/>
              <w:rPr>
                <w:rFonts w:ascii="仿宋" w:hAnsi="仿宋" w:eastAsia="仿宋" w:cs="仿宋"/>
                <w:b/>
                <w:sz w:val="28"/>
                <w:szCs w:val="28"/>
              </w:rPr>
            </w:pPr>
          </w:p>
        </w:tc>
        <w:tc>
          <w:tcPr>
            <w:tcW w:w="2715" w:type="dxa"/>
            <w:tcBorders>
              <w:tl2br w:val="nil"/>
              <w:tr2bl w:val="nil"/>
            </w:tcBorders>
            <w:shd w:val="clear" w:color="auto" w:fill="auto"/>
            <w:tcMar>
              <w:top w:w="15" w:type="dxa"/>
              <w:left w:w="15" w:type="dxa"/>
              <w:right w:w="15" w:type="dxa"/>
            </w:tcMar>
            <w:vAlign w:val="center"/>
          </w:tcPr>
          <w:p w14:paraId="09BDF0D0">
            <w:pPr>
              <w:widowControl/>
              <w:jc w:val="center"/>
              <w:textAlignment w:val="center"/>
              <w:rPr>
                <w:rFonts w:ascii="仿宋" w:hAnsi="仿宋" w:eastAsia="仿宋" w:cs="仿宋"/>
                <w:sz w:val="28"/>
                <w:szCs w:val="28"/>
              </w:rPr>
            </w:pPr>
            <w:r>
              <w:rPr>
                <w:rFonts w:hint="eastAsia" w:ascii="仿宋" w:hAnsi="仿宋" w:eastAsia="仿宋" w:cs="仿宋"/>
                <w:sz w:val="28"/>
                <w:szCs w:val="28"/>
              </w:rPr>
              <w:t>张光岩</w:t>
            </w:r>
          </w:p>
        </w:tc>
        <w:tc>
          <w:tcPr>
            <w:tcW w:w="3150" w:type="dxa"/>
            <w:tcBorders>
              <w:tl2br w:val="nil"/>
              <w:tr2bl w:val="nil"/>
            </w:tcBorders>
            <w:shd w:val="clear" w:color="auto" w:fill="auto"/>
            <w:tcMar>
              <w:top w:w="15" w:type="dxa"/>
              <w:left w:w="15" w:type="dxa"/>
              <w:right w:w="15" w:type="dxa"/>
            </w:tcMar>
            <w:vAlign w:val="center"/>
          </w:tcPr>
          <w:p w14:paraId="0934A385">
            <w:pPr>
              <w:widowControl/>
              <w:jc w:val="center"/>
              <w:textAlignment w:val="center"/>
              <w:rPr>
                <w:rFonts w:ascii="仿宋" w:hAnsi="仿宋" w:eastAsia="仿宋" w:cs="仿宋"/>
                <w:sz w:val="28"/>
                <w:szCs w:val="28"/>
              </w:rPr>
            </w:pPr>
            <w:r>
              <w:rPr>
                <w:rFonts w:hint="eastAsia" w:ascii="仿宋" w:hAnsi="仿宋" w:eastAsia="仿宋" w:cs="仿宋"/>
                <w:sz w:val="28"/>
                <w:szCs w:val="28"/>
              </w:rPr>
              <w:t>董事</w:t>
            </w:r>
          </w:p>
        </w:tc>
      </w:tr>
      <w:tr w14:paraId="2C108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0CFBDA76">
            <w:pPr>
              <w:jc w:val="center"/>
              <w:rPr>
                <w:rFonts w:ascii="仿宋" w:hAnsi="仿宋" w:eastAsia="仿宋" w:cs="仿宋"/>
                <w:b/>
                <w:sz w:val="28"/>
                <w:szCs w:val="28"/>
              </w:rPr>
            </w:pPr>
          </w:p>
        </w:tc>
        <w:tc>
          <w:tcPr>
            <w:tcW w:w="2715" w:type="dxa"/>
            <w:tcBorders>
              <w:tl2br w:val="nil"/>
              <w:tr2bl w:val="nil"/>
            </w:tcBorders>
            <w:shd w:val="clear" w:color="auto" w:fill="auto"/>
            <w:tcMar>
              <w:top w:w="15" w:type="dxa"/>
              <w:left w:w="15" w:type="dxa"/>
              <w:right w:w="15" w:type="dxa"/>
            </w:tcMar>
            <w:vAlign w:val="center"/>
          </w:tcPr>
          <w:p w14:paraId="67AC8E95">
            <w:pPr>
              <w:widowControl/>
              <w:jc w:val="center"/>
              <w:textAlignment w:val="center"/>
              <w:rPr>
                <w:rFonts w:hint="eastAsia" w:ascii="仿宋" w:hAnsi="仿宋" w:eastAsia="仿宋" w:cs="仿宋"/>
                <w:color w:val="000000"/>
                <w:sz w:val="28"/>
                <w:szCs w:val="28"/>
                <w:lang w:val="en-US" w:eastAsia="zh-CN" w:bidi="en-US"/>
              </w:rPr>
            </w:pPr>
            <w:r>
              <w:rPr>
                <w:rFonts w:hint="eastAsia" w:ascii="仿宋" w:hAnsi="仿宋" w:eastAsia="仿宋" w:cs="仿宋"/>
                <w:sz w:val="28"/>
                <w:szCs w:val="28"/>
                <w:lang w:val="en-US" w:eastAsia="zh-CN"/>
              </w:rPr>
              <w:t>金新文</w:t>
            </w:r>
          </w:p>
        </w:tc>
        <w:tc>
          <w:tcPr>
            <w:tcW w:w="3150" w:type="dxa"/>
            <w:tcBorders>
              <w:tl2br w:val="nil"/>
              <w:tr2bl w:val="nil"/>
            </w:tcBorders>
            <w:shd w:val="clear" w:color="auto" w:fill="auto"/>
            <w:tcMar>
              <w:top w:w="15" w:type="dxa"/>
              <w:left w:w="15" w:type="dxa"/>
              <w:right w:w="15" w:type="dxa"/>
            </w:tcMar>
            <w:vAlign w:val="center"/>
          </w:tcPr>
          <w:p w14:paraId="79E140BC">
            <w:pPr>
              <w:widowControl/>
              <w:jc w:val="center"/>
              <w:textAlignment w:val="center"/>
              <w:rPr>
                <w:rFonts w:hint="eastAsia" w:ascii="仿宋" w:hAnsi="仿宋" w:eastAsia="仿宋" w:cs="仿宋"/>
                <w:color w:val="000000"/>
                <w:sz w:val="28"/>
                <w:szCs w:val="28"/>
                <w:lang w:val="en-US" w:eastAsia="en-US" w:bidi="en-US"/>
              </w:rPr>
            </w:pPr>
            <w:r>
              <w:rPr>
                <w:rFonts w:hint="eastAsia" w:ascii="仿宋" w:hAnsi="仿宋" w:eastAsia="仿宋" w:cs="仿宋"/>
                <w:sz w:val="28"/>
                <w:szCs w:val="28"/>
              </w:rPr>
              <w:t>董事</w:t>
            </w:r>
          </w:p>
        </w:tc>
      </w:tr>
      <w:tr w14:paraId="2278C8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1B6C7A55">
            <w:pPr>
              <w:jc w:val="center"/>
              <w:rPr>
                <w:rFonts w:ascii="仿宋" w:hAnsi="仿宋" w:eastAsia="仿宋" w:cs="仿宋"/>
                <w:b/>
                <w:sz w:val="28"/>
                <w:szCs w:val="28"/>
              </w:rPr>
            </w:pPr>
          </w:p>
        </w:tc>
        <w:tc>
          <w:tcPr>
            <w:tcW w:w="2715" w:type="dxa"/>
            <w:tcBorders>
              <w:tl2br w:val="nil"/>
              <w:tr2bl w:val="nil"/>
            </w:tcBorders>
            <w:shd w:val="clear" w:color="auto" w:fill="auto"/>
            <w:tcMar>
              <w:top w:w="15" w:type="dxa"/>
              <w:left w:w="15" w:type="dxa"/>
              <w:right w:w="15" w:type="dxa"/>
            </w:tcMar>
            <w:vAlign w:val="center"/>
          </w:tcPr>
          <w:p w14:paraId="74CFF65C">
            <w:pPr>
              <w:widowControl/>
              <w:jc w:val="center"/>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于世玮</w:t>
            </w:r>
          </w:p>
        </w:tc>
        <w:tc>
          <w:tcPr>
            <w:tcW w:w="3150" w:type="dxa"/>
            <w:tcBorders>
              <w:tl2br w:val="nil"/>
              <w:tr2bl w:val="nil"/>
            </w:tcBorders>
            <w:shd w:val="clear" w:color="auto" w:fill="auto"/>
            <w:tcMar>
              <w:top w:w="15" w:type="dxa"/>
              <w:left w:w="15" w:type="dxa"/>
              <w:right w:w="15" w:type="dxa"/>
            </w:tcMar>
            <w:vAlign w:val="center"/>
          </w:tcPr>
          <w:p w14:paraId="19F20498">
            <w:pPr>
              <w:widowControl/>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职工董事</w:t>
            </w:r>
          </w:p>
        </w:tc>
      </w:tr>
      <w:tr w14:paraId="72DC83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restart"/>
            <w:tcBorders>
              <w:tl2br w:val="nil"/>
              <w:tr2bl w:val="nil"/>
            </w:tcBorders>
            <w:shd w:val="clear" w:color="auto" w:fill="auto"/>
            <w:tcMar>
              <w:top w:w="15" w:type="dxa"/>
              <w:left w:w="15" w:type="dxa"/>
              <w:right w:w="15" w:type="dxa"/>
            </w:tcMar>
            <w:vAlign w:val="center"/>
          </w:tcPr>
          <w:p w14:paraId="739E4069">
            <w:pPr>
              <w:widowControl/>
              <w:jc w:val="center"/>
              <w:textAlignment w:val="center"/>
              <w:rPr>
                <w:rFonts w:ascii="仿宋" w:hAnsi="仿宋" w:eastAsia="仿宋" w:cs="仿宋"/>
                <w:b/>
                <w:sz w:val="28"/>
                <w:szCs w:val="28"/>
              </w:rPr>
            </w:pPr>
            <w:r>
              <w:rPr>
                <w:rFonts w:hint="eastAsia" w:ascii="仿宋" w:hAnsi="仿宋" w:eastAsia="仿宋" w:cs="仿宋"/>
                <w:b/>
                <w:sz w:val="28"/>
                <w:szCs w:val="28"/>
              </w:rPr>
              <w:t>监事会组成</w:t>
            </w:r>
          </w:p>
        </w:tc>
        <w:tc>
          <w:tcPr>
            <w:tcW w:w="2715" w:type="dxa"/>
            <w:tcBorders>
              <w:tl2br w:val="nil"/>
              <w:tr2bl w:val="nil"/>
            </w:tcBorders>
            <w:shd w:val="clear" w:color="auto" w:fill="auto"/>
            <w:tcMar>
              <w:top w:w="15" w:type="dxa"/>
              <w:left w:w="15" w:type="dxa"/>
              <w:right w:w="15" w:type="dxa"/>
            </w:tcMar>
            <w:vAlign w:val="center"/>
          </w:tcPr>
          <w:p w14:paraId="1C1B9319">
            <w:pPr>
              <w:widowControl/>
              <w:jc w:val="center"/>
              <w:textAlignment w:val="center"/>
              <w:rPr>
                <w:rFonts w:ascii="仿宋" w:hAnsi="仿宋" w:eastAsia="仿宋" w:cs="仿宋"/>
                <w:b/>
                <w:sz w:val="28"/>
                <w:szCs w:val="28"/>
              </w:rPr>
            </w:pPr>
            <w:r>
              <w:rPr>
                <w:rFonts w:hint="eastAsia" w:ascii="仿宋" w:hAnsi="仿宋" w:eastAsia="仿宋" w:cs="仿宋"/>
                <w:b/>
                <w:sz w:val="28"/>
                <w:szCs w:val="28"/>
              </w:rPr>
              <w:t>姓名</w:t>
            </w:r>
          </w:p>
        </w:tc>
        <w:tc>
          <w:tcPr>
            <w:tcW w:w="3150" w:type="dxa"/>
            <w:tcBorders>
              <w:tl2br w:val="nil"/>
              <w:tr2bl w:val="nil"/>
            </w:tcBorders>
            <w:shd w:val="clear" w:color="auto" w:fill="auto"/>
            <w:tcMar>
              <w:top w:w="15" w:type="dxa"/>
              <w:left w:w="15" w:type="dxa"/>
              <w:right w:w="15" w:type="dxa"/>
            </w:tcMar>
            <w:vAlign w:val="center"/>
          </w:tcPr>
          <w:p w14:paraId="073679D9">
            <w:pPr>
              <w:widowControl/>
              <w:jc w:val="center"/>
              <w:textAlignment w:val="center"/>
              <w:rPr>
                <w:rFonts w:ascii="仿宋" w:hAnsi="仿宋" w:eastAsia="仿宋" w:cs="仿宋"/>
                <w:b/>
                <w:sz w:val="28"/>
                <w:szCs w:val="28"/>
              </w:rPr>
            </w:pPr>
            <w:r>
              <w:rPr>
                <w:rFonts w:hint="eastAsia" w:ascii="仿宋" w:hAnsi="仿宋" w:eastAsia="仿宋" w:cs="仿宋"/>
                <w:b/>
                <w:sz w:val="28"/>
                <w:szCs w:val="28"/>
              </w:rPr>
              <w:t>职务</w:t>
            </w:r>
          </w:p>
        </w:tc>
      </w:tr>
      <w:tr w14:paraId="5D5BC2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4F1837B0">
            <w:pPr>
              <w:jc w:val="center"/>
              <w:rPr>
                <w:rFonts w:ascii="仿宋" w:hAnsi="仿宋" w:eastAsia="仿宋" w:cs="仿宋"/>
                <w:b/>
                <w:sz w:val="28"/>
                <w:szCs w:val="28"/>
              </w:rPr>
            </w:pPr>
          </w:p>
        </w:tc>
        <w:tc>
          <w:tcPr>
            <w:tcW w:w="2715" w:type="dxa"/>
            <w:tcBorders>
              <w:tl2br w:val="nil"/>
              <w:tr2bl w:val="nil"/>
            </w:tcBorders>
            <w:shd w:val="clear" w:color="auto" w:fill="auto"/>
            <w:tcMar>
              <w:top w:w="15" w:type="dxa"/>
              <w:left w:w="15" w:type="dxa"/>
              <w:right w:w="15" w:type="dxa"/>
            </w:tcMar>
            <w:vAlign w:val="center"/>
          </w:tcPr>
          <w:p w14:paraId="5EE557F0">
            <w:pPr>
              <w:widowControl/>
              <w:jc w:val="center"/>
              <w:textAlignment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冯慧</w:t>
            </w:r>
          </w:p>
        </w:tc>
        <w:tc>
          <w:tcPr>
            <w:tcW w:w="3150" w:type="dxa"/>
            <w:tcBorders>
              <w:tl2br w:val="nil"/>
              <w:tr2bl w:val="nil"/>
            </w:tcBorders>
            <w:shd w:val="clear" w:color="auto" w:fill="auto"/>
            <w:tcMar>
              <w:top w:w="15" w:type="dxa"/>
              <w:left w:w="15" w:type="dxa"/>
              <w:right w:w="15" w:type="dxa"/>
            </w:tcMar>
            <w:vAlign w:val="center"/>
          </w:tcPr>
          <w:p w14:paraId="605AEF84">
            <w:pPr>
              <w:widowControl/>
              <w:jc w:val="center"/>
              <w:textAlignment w:val="center"/>
              <w:rPr>
                <w:rFonts w:ascii="仿宋" w:hAnsi="仿宋" w:eastAsia="仿宋" w:cs="仿宋"/>
                <w:sz w:val="28"/>
                <w:szCs w:val="28"/>
              </w:rPr>
            </w:pPr>
            <w:r>
              <w:rPr>
                <w:rFonts w:hint="eastAsia" w:ascii="仿宋" w:hAnsi="仿宋" w:eastAsia="仿宋" w:cs="仿宋"/>
                <w:sz w:val="28"/>
                <w:szCs w:val="28"/>
              </w:rPr>
              <w:t>监事会主席</w:t>
            </w:r>
          </w:p>
        </w:tc>
      </w:tr>
      <w:tr w14:paraId="0039A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36291422">
            <w:pPr>
              <w:jc w:val="center"/>
              <w:rPr>
                <w:rFonts w:ascii="仿宋" w:hAnsi="仿宋" w:eastAsia="仿宋" w:cs="仿宋"/>
                <w:b/>
                <w:sz w:val="28"/>
                <w:szCs w:val="28"/>
              </w:rPr>
            </w:pPr>
          </w:p>
        </w:tc>
        <w:tc>
          <w:tcPr>
            <w:tcW w:w="2715" w:type="dxa"/>
            <w:tcBorders>
              <w:tl2br w:val="nil"/>
              <w:tr2bl w:val="nil"/>
            </w:tcBorders>
            <w:shd w:val="clear" w:color="auto" w:fill="auto"/>
            <w:tcMar>
              <w:top w:w="15" w:type="dxa"/>
              <w:left w:w="15" w:type="dxa"/>
              <w:right w:w="15" w:type="dxa"/>
            </w:tcMar>
            <w:vAlign w:val="center"/>
          </w:tcPr>
          <w:p w14:paraId="634907EB">
            <w:pPr>
              <w:widowControl/>
              <w:jc w:val="center"/>
              <w:textAlignment w:val="center"/>
              <w:rPr>
                <w:rFonts w:ascii="仿宋" w:hAnsi="仿宋" w:eastAsia="仿宋" w:cs="仿宋"/>
                <w:sz w:val="28"/>
                <w:szCs w:val="28"/>
              </w:rPr>
            </w:pPr>
            <w:r>
              <w:rPr>
                <w:rFonts w:hint="eastAsia" w:ascii="仿宋" w:hAnsi="仿宋" w:eastAsia="仿宋" w:cs="仿宋"/>
                <w:sz w:val="28"/>
                <w:szCs w:val="28"/>
              </w:rPr>
              <w:t>袁京廷</w:t>
            </w:r>
          </w:p>
        </w:tc>
        <w:tc>
          <w:tcPr>
            <w:tcW w:w="3150" w:type="dxa"/>
            <w:tcBorders>
              <w:tl2br w:val="nil"/>
              <w:tr2bl w:val="nil"/>
            </w:tcBorders>
            <w:shd w:val="clear" w:color="auto" w:fill="auto"/>
            <w:tcMar>
              <w:top w:w="15" w:type="dxa"/>
              <w:left w:w="15" w:type="dxa"/>
              <w:right w:w="15" w:type="dxa"/>
            </w:tcMar>
            <w:vAlign w:val="center"/>
          </w:tcPr>
          <w:p w14:paraId="1BE4B62E">
            <w:pPr>
              <w:widowControl/>
              <w:jc w:val="center"/>
              <w:textAlignment w:val="center"/>
              <w:rPr>
                <w:rFonts w:ascii="仿宋" w:hAnsi="仿宋" w:eastAsia="仿宋" w:cs="仿宋"/>
                <w:sz w:val="28"/>
                <w:szCs w:val="28"/>
              </w:rPr>
            </w:pPr>
            <w:r>
              <w:rPr>
                <w:rFonts w:hint="eastAsia" w:ascii="仿宋" w:hAnsi="仿宋" w:eastAsia="仿宋" w:cs="仿宋"/>
                <w:sz w:val="28"/>
                <w:szCs w:val="28"/>
              </w:rPr>
              <w:t>监事</w:t>
            </w:r>
          </w:p>
        </w:tc>
      </w:tr>
      <w:tr w14:paraId="28FE7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77B41B4B">
            <w:pPr>
              <w:jc w:val="center"/>
              <w:rPr>
                <w:rFonts w:ascii="仿宋" w:hAnsi="仿宋" w:eastAsia="仿宋" w:cs="仿宋"/>
                <w:b/>
                <w:sz w:val="28"/>
                <w:szCs w:val="28"/>
              </w:rPr>
            </w:pPr>
          </w:p>
        </w:tc>
        <w:tc>
          <w:tcPr>
            <w:tcW w:w="2715" w:type="dxa"/>
            <w:tcBorders>
              <w:tl2br w:val="nil"/>
              <w:tr2bl w:val="nil"/>
            </w:tcBorders>
            <w:shd w:val="clear" w:color="auto" w:fill="auto"/>
            <w:tcMar>
              <w:top w:w="15" w:type="dxa"/>
              <w:left w:w="15" w:type="dxa"/>
              <w:right w:w="15" w:type="dxa"/>
            </w:tcMar>
            <w:vAlign w:val="center"/>
          </w:tcPr>
          <w:p w14:paraId="50EDF311">
            <w:pPr>
              <w:widowControl/>
              <w:jc w:val="center"/>
              <w:textAlignment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刘鲁伟</w:t>
            </w:r>
          </w:p>
        </w:tc>
        <w:tc>
          <w:tcPr>
            <w:tcW w:w="3150" w:type="dxa"/>
            <w:tcBorders>
              <w:tl2br w:val="nil"/>
              <w:tr2bl w:val="nil"/>
            </w:tcBorders>
            <w:shd w:val="clear" w:color="auto" w:fill="auto"/>
            <w:tcMar>
              <w:top w:w="15" w:type="dxa"/>
              <w:left w:w="15" w:type="dxa"/>
              <w:right w:w="15" w:type="dxa"/>
            </w:tcMar>
            <w:vAlign w:val="center"/>
          </w:tcPr>
          <w:p w14:paraId="5D125D36">
            <w:pPr>
              <w:widowControl/>
              <w:jc w:val="center"/>
              <w:textAlignment w:val="center"/>
              <w:rPr>
                <w:rFonts w:ascii="仿宋" w:hAnsi="仿宋" w:eastAsia="仿宋" w:cs="仿宋"/>
                <w:sz w:val="28"/>
                <w:szCs w:val="28"/>
              </w:rPr>
            </w:pPr>
            <w:r>
              <w:rPr>
                <w:rFonts w:hint="eastAsia" w:ascii="仿宋" w:hAnsi="仿宋" w:eastAsia="仿宋" w:cs="仿宋"/>
                <w:sz w:val="28"/>
                <w:szCs w:val="28"/>
              </w:rPr>
              <w:t>监事</w:t>
            </w:r>
          </w:p>
        </w:tc>
      </w:tr>
      <w:tr w14:paraId="788FC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012E646B">
            <w:pPr>
              <w:jc w:val="center"/>
              <w:rPr>
                <w:rFonts w:ascii="仿宋" w:hAnsi="仿宋" w:eastAsia="仿宋" w:cs="仿宋"/>
                <w:b/>
                <w:sz w:val="28"/>
                <w:szCs w:val="28"/>
              </w:rPr>
            </w:pPr>
          </w:p>
        </w:tc>
        <w:tc>
          <w:tcPr>
            <w:tcW w:w="2715" w:type="dxa"/>
            <w:tcBorders>
              <w:tl2br w:val="nil"/>
              <w:tr2bl w:val="nil"/>
            </w:tcBorders>
            <w:shd w:val="clear" w:color="auto" w:fill="auto"/>
            <w:tcMar>
              <w:top w:w="15" w:type="dxa"/>
              <w:left w:w="15" w:type="dxa"/>
              <w:right w:w="15" w:type="dxa"/>
            </w:tcMar>
            <w:vAlign w:val="center"/>
          </w:tcPr>
          <w:p w14:paraId="0A0D3D61">
            <w:pPr>
              <w:widowControl/>
              <w:jc w:val="center"/>
              <w:textAlignment w:val="center"/>
              <w:rPr>
                <w:rFonts w:hint="eastAsia" w:ascii="仿宋" w:hAnsi="仿宋" w:eastAsia="仿宋" w:cs="仿宋"/>
                <w:color w:val="000000"/>
                <w:sz w:val="28"/>
                <w:szCs w:val="28"/>
                <w:lang w:val="en-US" w:eastAsia="en-US" w:bidi="en-US"/>
              </w:rPr>
            </w:pPr>
            <w:r>
              <w:rPr>
                <w:rFonts w:hint="eastAsia" w:ascii="仿宋" w:hAnsi="仿宋" w:eastAsia="仿宋" w:cs="仿宋"/>
                <w:sz w:val="28"/>
                <w:szCs w:val="28"/>
              </w:rPr>
              <w:t>郭信英</w:t>
            </w:r>
          </w:p>
        </w:tc>
        <w:tc>
          <w:tcPr>
            <w:tcW w:w="3150" w:type="dxa"/>
            <w:tcBorders>
              <w:tl2br w:val="nil"/>
              <w:tr2bl w:val="nil"/>
            </w:tcBorders>
            <w:shd w:val="clear" w:color="auto" w:fill="auto"/>
            <w:tcMar>
              <w:top w:w="15" w:type="dxa"/>
              <w:left w:w="15" w:type="dxa"/>
              <w:right w:w="15" w:type="dxa"/>
            </w:tcMar>
            <w:vAlign w:val="center"/>
          </w:tcPr>
          <w:p w14:paraId="0628B73F">
            <w:pPr>
              <w:widowControl/>
              <w:jc w:val="center"/>
              <w:textAlignment w:val="center"/>
              <w:rPr>
                <w:rFonts w:hint="eastAsia" w:ascii="仿宋" w:hAnsi="仿宋" w:eastAsia="仿宋" w:cs="仿宋"/>
                <w:color w:val="000000"/>
                <w:sz w:val="28"/>
                <w:szCs w:val="28"/>
                <w:lang w:val="en-US" w:eastAsia="en-US" w:bidi="en-US"/>
              </w:rPr>
            </w:pPr>
            <w:r>
              <w:rPr>
                <w:rFonts w:hint="eastAsia" w:ascii="仿宋" w:hAnsi="仿宋" w:eastAsia="仿宋" w:cs="仿宋"/>
                <w:sz w:val="28"/>
                <w:szCs w:val="28"/>
              </w:rPr>
              <w:t>监事</w:t>
            </w:r>
          </w:p>
        </w:tc>
      </w:tr>
      <w:tr w14:paraId="2B5FF5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56E4276A">
            <w:pPr>
              <w:jc w:val="center"/>
              <w:rPr>
                <w:rFonts w:ascii="仿宋" w:hAnsi="仿宋" w:eastAsia="仿宋" w:cs="仿宋"/>
                <w:b/>
                <w:sz w:val="28"/>
                <w:szCs w:val="28"/>
              </w:rPr>
            </w:pPr>
          </w:p>
        </w:tc>
        <w:tc>
          <w:tcPr>
            <w:tcW w:w="2715" w:type="dxa"/>
            <w:tcBorders>
              <w:tl2br w:val="nil"/>
              <w:tr2bl w:val="nil"/>
            </w:tcBorders>
            <w:shd w:val="clear" w:color="auto" w:fill="auto"/>
            <w:tcMar>
              <w:top w:w="15" w:type="dxa"/>
              <w:left w:w="15" w:type="dxa"/>
              <w:right w:w="15" w:type="dxa"/>
            </w:tcMar>
            <w:vAlign w:val="center"/>
          </w:tcPr>
          <w:p w14:paraId="750252FF">
            <w:pPr>
              <w:widowControl/>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董春千</w:t>
            </w:r>
          </w:p>
        </w:tc>
        <w:tc>
          <w:tcPr>
            <w:tcW w:w="3150" w:type="dxa"/>
            <w:tcBorders>
              <w:tl2br w:val="nil"/>
              <w:tr2bl w:val="nil"/>
            </w:tcBorders>
            <w:shd w:val="clear" w:color="auto" w:fill="auto"/>
            <w:tcMar>
              <w:top w:w="15" w:type="dxa"/>
              <w:left w:w="15" w:type="dxa"/>
              <w:right w:w="15" w:type="dxa"/>
            </w:tcMar>
            <w:vAlign w:val="center"/>
          </w:tcPr>
          <w:p w14:paraId="20C604FC">
            <w:pPr>
              <w:widowControl/>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职工监事</w:t>
            </w:r>
          </w:p>
        </w:tc>
      </w:tr>
      <w:tr w14:paraId="0D0419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74142631">
            <w:pPr>
              <w:jc w:val="center"/>
              <w:rPr>
                <w:rFonts w:ascii="仿宋" w:hAnsi="仿宋" w:eastAsia="仿宋" w:cs="仿宋"/>
                <w:b/>
                <w:sz w:val="28"/>
                <w:szCs w:val="28"/>
              </w:rPr>
            </w:pPr>
          </w:p>
        </w:tc>
        <w:tc>
          <w:tcPr>
            <w:tcW w:w="2715" w:type="dxa"/>
            <w:tcBorders>
              <w:tl2br w:val="nil"/>
              <w:tr2bl w:val="nil"/>
            </w:tcBorders>
            <w:shd w:val="clear" w:color="auto" w:fill="auto"/>
            <w:tcMar>
              <w:top w:w="15" w:type="dxa"/>
              <w:left w:w="15" w:type="dxa"/>
              <w:right w:w="15" w:type="dxa"/>
            </w:tcMar>
            <w:vAlign w:val="center"/>
          </w:tcPr>
          <w:p w14:paraId="59AA85AE">
            <w:pPr>
              <w:widowControl/>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卢祥龙</w:t>
            </w:r>
          </w:p>
        </w:tc>
        <w:tc>
          <w:tcPr>
            <w:tcW w:w="3150" w:type="dxa"/>
            <w:tcBorders>
              <w:tl2br w:val="nil"/>
              <w:tr2bl w:val="nil"/>
            </w:tcBorders>
            <w:shd w:val="clear" w:color="auto" w:fill="auto"/>
            <w:tcMar>
              <w:top w:w="15" w:type="dxa"/>
              <w:left w:w="15" w:type="dxa"/>
              <w:right w:w="15" w:type="dxa"/>
            </w:tcMar>
            <w:vAlign w:val="center"/>
          </w:tcPr>
          <w:p w14:paraId="399CF1D3">
            <w:pPr>
              <w:widowControl/>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职工监事</w:t>
            </w:r>
          </w:p>
        </w:tc>
      </w:tr>
      <w:tr w14:paraId="028B86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restart"/>
            <w:tcBorders>
              <w:tl2br w:val="nil"/>
              <w:tr2bl w:val="nil"/>
            </w:tcBorders>
            <w:shd w:val="clear" w:color="auto" w:fill="auto"/>
            <w:tcMar>
              <w:top w:w="15" w:type="dxa"/>
              <w:left w:w="15" w:type="dxa"/>
              <w:right w:w="15" w:type="dxa"/>
            </w:tcMar>
            <w:vAlign w:val="center"/>
          </w:tcPr>
          <w:p w14:paraId="243365CF">
            <w:pPr>
              <w:widowControl/>
              <w:jc w:val="center"/>
              <w:textAlignment w:val="center"/>
              <w:rPr>
                <w:rFonts w:ascii="仿宋" w:hAnsi="仿宋" w:eastAsia="仿宋" w:cs="仿宋"/>
                <w:b/>
                <w:sz w:val="28"/>
                <w:szCs w:val="28"/>
              </w:rPr>
            </w:pPr>
            <w:r>
              <w:rPr>
                <w:rFonts w:hint="eastAsia" w:ascii="仿宋" w:hAnsi="仿宋" w:eastAsia="仿宋" w:cs="仿宋"/>
                <w:b/>
                <w:sz w:val="28"/>
                <w:szCs w:val="28"/>
              </w:rPr>
              <w:t>经理层组成</w:t>
            </w:r>
          </w:p>
        </w:tc>
        <w:tc>
          <w:tcPr>
            <w:tcW w:w="2715" w:type="dxa"/>
            <w:tcBorders>
              <w:tl2br w:val="nil"/>
              <w:tr2bl w:val="nil"/>
            </w:tcBorders>
            <w:shd w:val="clear" w:color="auto" w:fill="auto"/>
            <w:tcMar>
              <w:top w:w="15" w:type="dxa"/>
              <w:left w:w="15" w:type="dxa"/>
              <w:right w:w="15" w:type="dxa"/>
            </w:tcMar>
            <w:vAlign w:val="center"/>
          </w:tcPr>
          <w:p w14:paraId="72D7C11D">
            <w:pPr>
              <w:widowControl/>
              <w:jc w:val="center"/>
              <w:textAlignment w:val="center"/>
              <w:rPr>
                <w:rFonts w:ascii="仿宋" w:hAnsi="仿宋" w:eastAsia="仿宋" w:cs="仿宋"/>
                <w:b/>
                <w:sz w:val="28"/>
                <w:szCs w:val="28"/>
              </w:rPr>
            </w:pPr>
            <w:r>
              <w:rPr>
                <w:rFonts w:hint="eastAsia" w:ascii="仿宋" w:hAnsi="仿宋" w:eastAsia="仿宋" w:cs="仿宋"/>
                <w:b/>
                <w:sz w:val="28"/>
                <w:szCs w:val="28"/>
              </w:rPr>
              <w:t>姓名</w:t>
            </w:r>
          </w:p>
        </w:tc>
        <w:tc>
          <w:tcPr>
            <w:tcW w:w="3150" w:type="dxa"/>
            <w:tcBorders>
              <w:tl2br w:val="nil"/>
              <w:tr2bl w:val="nil"/>
            </w:tcBorders>
            <w:shd w:val="clear" w:color="auto" w:fill="auto"/>
            <w:tcMar>
              <w:top w:w="15" w:type="dxa"/>
              <w:left w:w="15" w:type="dxa"/>
              <w:right w:w="15" w:type="dxa"/>
            </w:tcMar>
            <w:vAlign w:val="center"/>
          </w:tcPr>
          <w:p w14:paraId="140A5AF7">
            <w:pPr>
              <w:widowControl/>
              <w:jc w:val="center"/>
              <w:textAlignment w:val="center"/>
              <w:rPr>
                <w:rFonts w:ascii="仿宋" w:hAnsi="仿宋" w:eastAsia="仿宋" w:cs="仿宋"/>
                <w:b/>
                <w:sz w:val="28"/>
                <w:szCs w:val="28"/>
              </w:rPr>
            </w:pPr>
            <w:r>
              <w:rPr>
                <w:rFonts w:hint="eastAsia" w:ascii="仿宋" w:hAnsi="仿宋" w:eastAsia="仿宋" w:cs="仿宋"/>
                <w:b/>
                <w:sz w:val="28"/>
                <w:szCs w:val="28"/>
              </w:rPr>
              <w:t>职务</w:t>
            </w:r>
          </w:p>
        </w:tc>
      </w:tr>
      <w:tr w14:paraId="67151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52A47ED1">
            <w:pPr>
              <w:jc w:val="center"/>
              <w:rPr>
                <w:rFonts w:ascii="仿宋" w:hAnsi="仿宋" w:eastAsia="仿宋" w:cs="仿宋"/>
                <w:b/>
                <w:sz w:val="28"/>
                <w:szCs w:val="28"/>
              </w:rPr>
            </w:pPr>
          </w:p>
        </w:tc>
        <w:tc>
          <w:tcPr>
            <w:tcW w:w="2715" w:type="dxa"/>
            <w:tcBorders>
              <w:tl2br w:val="nil"/>
              <w:tr2bl w:val="nil"/>
            </w:tcBorders>
            <w:shd w:val="clear" w:color="auto" w:fill="auto"/>
            <w:tcMar>
              <w:top w:w="15" w:type="dxa"/>
              <w:left w:w="15" w:type="dxa"/>
              <w:right w:w="15" w:type="dxa"/>
            </w:tcMar>
            <w:vAlign w:val="center"/>
          </w:tcPr>
          <w:p w14:paraId="58D67D0F">
            <w:pPr>
              <w:widowControl/>
              <w:jc w:val="center"/>
              <w:textAlignment w:val="center"/>
              <w:rPr>
                <w:rFonts w:ascii="仿宋" w:hAnsi="仿宋" w:eastAsia="仿宋" w:cs="仿宋"/>
                <w:sz w:val="28"/>
                <w:szCs w:val="28"/>
              </w:rPr>
            </w:pPr>
            <w:r>
              <w:rPr>
                <w:rFonts w:hint="eastAsia" w:ascii="仿宋" w:hAnsi="仿宋" w:eastAsia="仿宋" w:cs="仿宋"/>
                <w:sz w:val="28"/>
                <w:szCs w:val="28"/>
              </w:rPr>
              <w:t>王炎义</w:t>
            </w:r>
          </w:p>
        </w:tc>
        <w:tc>
          <w:tcPr>
            <w:tcW w:w="3150" w:type="dxa"/>
            <w:tcBorders>
              <w:tl2br w:val="nil"/>
              <w:tr2bl w:val="nil"/>
            </w:tcBorders>
            <w:shd w:val="clear" w:color="auto" w:fill="auto"/>
            <w:tcMar>
              <w:top w:w="15" w:type="dxa"/>
              <w:left w:w="15" w:type="dxa"/>
              <w:right w:w="15" w:type="dxa"/>
            </w:tcMar>
            <w:vAlign w:val="center"/>
          </w:tcPr>
          <w:p w14:paraId="5C522316">
            <w:pPr>
              <w:widowControl/>
              <w:jc w:val="center"/>
              <w:textAlignment w:val="center"/>
              <w:rPr>
                <w:rFonts w:ascii="仿宋" w:hAnsi="仿宋" w:eastAsia="仿宋" w:cs="仿宋"/>
                <w:sz w:val="28"/>
                <w:szCs w:val="28"/>
              </w:rPr>
            </w:pPr>
            <w:r>
              <w:rPr>
                <w:rFonts w:hint="eastAsia" w:ascii="仿宋" w:hAnsi="仿宋" w:eastAsia="仿宋" w:cs="仿宋"/>
                <w:sz w:val="28"/>
                <w:szCs w:val="28"/>
              </w:rPr>
              <w:t>总经理</w:t>
            </w:r>
          </w:p>
        </w:tc>
      </w:tr>
      <w:tr w14:paraId="493122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28FF58AC">
            <w:pPr>
              <w:jc w:val="center"/>
              <w:rPr>
                <w:rFonts w:ascii="仿宋" w:hAnsi="仿宋" w:eastAsia="仿宋" w:cs="仿宋"/>
                <w:b/>
                <w:sz w:val="28"/>
                <w:szCs w:val="28"/>
              </w:rPr>
            </w:pPr>
          </w:p>
        </w:tc>
        <w:tc>
          <w:tcPr>
            <w:tcW w:w="2715" w:type="dxa"/>
            <w:tcBorders>
              <w:tl2br w:val="nil"/>
              <w:tr2bl w:val="nil"/>
            </w:tcBorders>
            <w:shd w:val="clear" w:color="auto" w:fill="auto"/>
            <w:tcMar>
              <w:top w:w="15" w:type="dxa"/>
              <w:left w:w="15" w:type="dxa"/>
              <w:right w:w="15" w:type="dxa"/>
            </w:tcMar>
            <w:vAlign w:val="center"/>
          </w:tcPr>
          <w:p w14:paraId="6F88B13D">
            <w:pPr>
              <w:widowControl/>
              <w:jc w:val="center"/>
              <w:textAlignment w:val="center"/>
              <w:rPr>
                <w:rFonts w:ascii="仿宋" w:hAnsi="仿宋" w:eastAsia="仿宋" w:cs="仿宋"/>
                <w:sz w:val="28"/>
                <w:szCs w:val="28"/>
                <w:lang w:eastAsia="zh-CN"/>
              </w:rPr>
            </w:pPr>
            <w:r>
              <w:rPr>
                <w:rFonts w:hint="eastAsia" w:ascii="仿宋" w:hAnsi="仿宋" w:eastAsia="仿宋" w:cs="仿宋"/>
                <w:sz w:val="28"/>
                <w:szCs w:val="28"/>
                <w:lang w:eastAsia="zh-CN"/>
              </w:rPr>
              <w:t>于世玮</w:t>
            </w:r>
          </w:p>
        </w:tc>
        <w:tc>
          <w:tcPr>
            <w:tcW w:w="3150" w:type="dxa"/>
            <w:tcBorders>
              <w:tl2br w:val="nil"/>
              <w:tr2bl w:val="nil"/>
            </w:tcBorders>
            <w:shd w:val="clear" w:color="auto" w:fill="auto"/>
            <w:tcMar>
              <w:top w:w="15" w:type="dxa"/>
              <w:left w:w="15" w:type="dxa"/>
              <w:right w:w="15" w:type="dxa"/>
            </w:tcMar>
            <w:vAlign w:val="center"/>
          </w:tcPr>
          <w:p w14:paraId="79C9C247">
            <w:pPr>
              <w:widowControl/>
              <w:jc w:val="center"/>
              <w:textAlignment w:val="center"/>
              <w:rPr>
                <w:rFonts w:ascii="仿宋" w:hAnsi="仿宋" w:eastAsia="仿宋" w:cs="仿宋"/>
                <w:sz w:val="28"/>
                <w:szCs w:val="28"/>
                <w:lang w:eastAsia="zh-CN"/>
              </w:rPr>
            </w:pPr>
            <w:r>
              <w:rPr>
                <w:rFonts w:hint="eastAsia" w:ascii="仿宋" w:hAnsi="仿宋" w:eastAsia="仿宋" w:cs="仿宋"/>
                <w:sz w:val="28"/>
                <w:szCs w:val="28"/>
                <w:lang w:eastAsia="zh-CN"/>
              </w:rPr>
              <w:t>副总经理</w:t>
            </w:r>
          </w:p>
        </w:tc>
      </w:tr>
      <w:tr w14:paraId="3858B1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2271" w:type="dxa"/>
            <w:vMerge w:val="continue"/>
            <w:tcBorders>
              <w:tl2br w:val="nil"/>
              <w:tr2bl w:val="nil"/>
            </w:tcBorders>
            <w:shd w:val="clear" w:color="auto" w:fill="auto"/>
            <w:tcMar>
              <w:top w:w="15" w:type="dxa"/>
              <w:left w:w="15" w:type="dxa"/>
              <w:right w:w="15" w:type="dxa"/>
            </w:tcMar>
            <w:vAlign w:val="center"/>
          </w:tcPr>
          <w:p w14:paraId="653A1022">
            <w:pPr>
              <w:jc w:val="center"/>
              <w:rPr>
                <w:rFonts w:ascii="仿宋" w:hAnsi="仿宋" w:eastAsia="仿宋" w:cs="仿宋"/>
                <w:b/>
                <w:sz w:val="28"/>
                <w:szCs w:val="28"/>
              </w:rPr>
            </w:pPr>
          </w:p>
        </w:tc>
        <w:tc>
          <w:tcPr>
            <w:tcW w:w="2715" w:type="dxa"/>
            <w:tcBorders>
              <w:tl2br w:val="nil"/>
              <w:tr2bl w:val="nil"/>
            </w:tcBorders>
            <w:shd w:val="clear" w:color="auto" w:fill="auto"/>
            <w:tcMar>
              <w:top w:w="15" w:type="dxa"/>
              <w:left w:w="15" w:type="dxa"/>
              <w:right w:w="15" w:type="dxa"/>
            </w:tcMar>
            <w:vAlign w:val="center"/>
          </w:tcPr>
          <w:p w14:paraId="4D97980D">
            <w:pPr>
              <w:widowControl/>
              <w:jc w:val="center"/>
              <w:textAlignment w:val="center"/>
              <w:rPr>
                <w:rFonts w:ascii="仿宋" w:hAnsi="仿宋" w:eastAsia="仿宋" w:cs="仿宋"/>
                <w:sz w:val="28"/>
                <w:szCs w:val="28"/>
              </w:rPr>
            </w:pPr>
          </w:p>
        </w:tc>
        <w:tc>
          <w:tcPr>
            <w:tcW w:w="3150" w:type="dxa"/>
            <w:tcBorders>
              <w:tl2br w:val="nil"/>
              <w:tr2bl w:val="nil"/>
            </w:tcBorders>
            <w:shd w:val="clear" w:color="auto" w:fill="auto"/>
            <w:tcMar>
              <w:top w:w="15" w:type="dxa"/>
              <w:left w:w="15" w:type="dxa"/>
              <w:right w:w="15" w:type="dxa"/>
            </w:tcMar>
            <w:vAlign w:val="center"/>
          </w:tcPr>
          <w:p w14:paraId="1AAB49CA">
            <w:pPr>
              <w:widowControl/>
              <w:jc w:val="center"/>
              <w:textAlignment w:val="center"/>
              <w:rPr>
                <w:rFonts w:ascii="仿宋" w:hAnsi="仿宋" w:eastAsia="仿宋" w:cs="仿宋"/>
                <w:sz w:val="28"/>
                <w:szCs w:val="28"/>
              </w:rPr>
            </w:pPr>
          </w:p>
        </w:tc>
      </w:tr>
    </w:tbl>
    <w:p w14:paraId="025FE2B4">
      <w:pPr>
        <w:rPr>
          <w:sz w:val="32"/>
          <w:szCs w:val="32"/>
        </w:rPr>
      </w:pPr>
    </w:p>
    <w:p w14:paraId="729FEF34">
      <w:pPr>
        <w:spacing w:line="560" w:lineRule="exact"/>
        <w:ind w:firstLine="640" w:firstLineChars="200"/>
        <w:rPr>
          <w:rFonts w:ascii="等线" w:hAnsi="等线" w:eastAsia="等线" w:cs="宋体"/>
          <w:b/>
          <w:bCs/>
          <w:sz w:val="32"/>
          <w:szCs w:val="32"/>
          <w:lang w:eastAsia="zh-CN" w:bidi="ar-SA"/>
        </w:rPr>
      </w:pPr>
      <w:r>
        <w:rPr>
          <w:rFonts w:hint="eastAsia" w:ascii="等线" w:hAnsi="等线" w:eastAsia="等线" w:cs="宋体"/>
          <w:b/>
          <w:bCs/>
          <w:sz w:val="32"/>
          <w:szCs w:val="32"/>
          <w:lang w:eastAsia="zh-CN" w:bidi="ar-SA"/>
        </w:rPr>
        <w:t>二、</w:t>
      </w:r>
      <w:r>
        <w:rPr>
          <w:rFonts w:hint="eastAsia" w:ascii="黑体" w:hAnsi="黑体" w:eastAsia="黑体" w:cs="黑体"/>
          <w:sz w:val="32"/>
          <w:szCs w:val="32"/>
          <w:lang w:eastAsia="zh-CN"/>
        </w:rPr>
        <w:t>主要会计数据和财务指标情况</w:t>
      </w:r>
    </w:p>
    <w:tbl>
      <w:tblPr>
        <w:tblStyle w:val="4"/>
        <w:tblW w:w="5809" w:type="dxa"/>
        <w:jc w:val="center"/>
        <w:tblLayout w:type="fixed"/>
        <w:tblCellMar>
          <w:top w:w="0" w:type="dxa"/>
          <w:left w:w="108" w:type="dxa"/>
          <w:bottom w:w="0" w:type="dxa"/>
          <w:right w:w="108" w:type="dxa"/>
        </w:tblCellMar>
      </w:tblPr>
      <w:tblGrid>
        <w:gridCol w:w="2914"/>
        <w:gridCol w:w="2895"/>
      </w:tblGrid>
      <w:tr w14:paraId="464730AB">
        <w:tblPrEx>
          <w:tblCellMar>
            <w:top w:w="0" w:type="dxa"/>
            <w:left w:w="108" w:type="dxa"/>
            <w:bottom w:w="0" w:type="dxa"/>
            <w:right w:w="108" w:type="dxa"/>
          </w:tblCellMar>
        </w:tblPrEx>
        <w:trPr>
          <w:trHeight w:val="440" w:hRule="atLeast"/>
          <w:jc w:val="center"/>
        </w:trPr>
        <w:tc>
          <w:tcPr>
            <w:tcW w:w="2914" w:type="dxa"/>
            <w:tcBorders>
              <w:top w:val="nil"/>
              <w:left w:val="nil"/>
              <w:bottom w:val="nil"/>
              <w:right w:val="nil"/>
            </w:tcBorders>
            <w:shd w:val="clear" w:color="auto" w:fill="auto"/>
            <w:noWrap/>
            <w:vAlign w:val="center"/>
          </w:tcPr>
          <w:p w14:paraId="5C4A2827">
            <w:pPr>
              <w:widowControl/>
              <w:jc w:val="both"/>
              <w:rPr>
                <w:rFonts w:ascii="仿宋_GB2312" w:hAnsi="等线" w:eastAsia="仿宋_GB2312" w:cs="宋体"/>
                <w:sz w:val="21"/>
                <w:szCs w:val="21"/>
                <w:lang w:eastAsia="zh-CN" w:bidi="ar-SA"/>
              </w:rPr>
            </w:pPr>
            <w:r>
              <w:rPr>
                <w:rFonts w:hint="eastAsia" w:ascii="仿宋_GB2312" w:hAnsi="等线" w:eastAsia="仿宋_GB2312" w:cs="宋体"/>
                <w:sz w:val="21"/>
                <w:szCs w:val="21"/>
                <w:lang w:eastAsia="zh-CN" w:bidi="ar-SA"/>
              </w:rPr>
              <w:t xml:space="preserve"> </w:t>
            </w:r>
          </w:p>
        </w:tc>
        <w:tc>
          <w:tcPr>
            <w:tcW w:w="2895" w:type="dxa"/>
            <w:tcBorders>
              <w:top w:val="nil"/>
              <w:left w:val="nil"/>
              <w:bottom w:val="nil"/>
              <w:right w:val="nil"/>
            </w:tcBorders>
            <w:shd w:val="clear" w:color="auto" w:fill="auto"/>
            <w:noWrap/>
            <w:vAlign w:val="center"/>
          </w:tcPr>
          <w:p w14:paraId="49FFB399">
            <w:pPr>
              <w:widowControl/>
              <w:jc w:val="both"/>
              <w:rPr>
                <w:rFonts w:ascii="仿宋_GB2312" w:hAnsi="等线" w:eastAsia="仿宋_GB2312" w:cs="宋体"/>
                <w:sz w:val="21"/>
                <w:szCs w:val="21"/>
                <w:lang w:eastAsia="zh-CN" w:bidi="ar-SA"/>
              </w:rPr>
            </w:pPr>
          </w:p>
        </w:tc>
      </w:tr>
      <w:tr w14:paraId="4BFC766E">
        <w:tblPrEx>
          <w:tblCellMar>
            <w:top w:w="0" w:type="dxa"/>
            <w:left w:w="108" w:type="dxa"/>
            <w:bottom w:w="0" w:type="dxa"/>
            <w:right w:w="108" w:type="dxa"/>
          </w:tblCellMar>
        </w:tblPrEx>
        <w:trPr>
          <w:trHeight w:val="440" w:hRule="atLeast"/>
          <w:jc w:val="center"/>
        </w:trPr>
        <w:tc>
          <w:tcPr>
            <w:tcW w:w="2914" w:type="dxa"/>
            <w:tcBorders>
              <w:top w:val="single" w:color="auto" w:sz="4" w:space="0"/>
              <w:left w:val="single" w:color="auto" w:sz="4" w:space="0"/>
              <w:bottom w:val="single" w:color="auto" w:sz="4" w:space="0"/>
              <w:right w:val="single" w:color="auto" w:sz="4" w:space="0"/>
            </w:tcBorders>
            <w:shd w:val="clear" w:color="auto" w:fill="auto"/>
            <w:vAlign w:val="center"/>
          </w:tcPr>
          <w:p w14:paraId="65DAE849">
            <w:pPr>
              <w:widowControl/>
              <w:jc w:val="center"/>
              <w:rPr>
                <w:rFonts w:ascii="仿宋_GB2312" w:hAnsi="等线" w:eastAsia="仿宋_GB2312" w:cs="宋体"/>
                <w:b/>
                <w:bCs/>
                <w:sz w:val="21"/>
                <w:szCs w:val="21"/>
                <w:lang w:eastAsia="zh-CN" w:bidi="ar-SA"/>
              </w:rPr>
            </w:pPr>
            <w:r>
              <w:rPr>
                <w:rFonts w:hint="eastAsia" w:ascii="仿宋_GB2312" w:hAnsi="等线" w:eastAsia="仿宋_GB2312" w:cs="宋体"/>
                <w:b/>
                <w:bCs/>
                <w:sz w:val="21"/>
                <w:szCs w:val="21"/>
                <w:lang w:eastAsia="zh-CN" w:bidi="ar-SA"/>
              </w:rPr>
              <w:t>项目</w:t>
            </w:r>
          </w:p>
        </w:tc>
        <w:tc>
          <w:tcPr>
            <w:tcW w:w="2895" w:type="dxa"/>
            <w:tcBorders>
              <w:top w:val="single" w:color="auto" w:sz="4" w:space="0"/>
              <w:left w:val="nil"/>
              <w:bottom w:val="single" w:color="auto" w:sz="4" w:space="0"/>
              <w:right w:val="single" w:color="auto" w:sz="4" w:space="0"/>
            </w:tcBorders>
            <w:shd w:val="clear" w:color="auto" w:fill="auto"/>
            <w:vAlign w:val="center"/>
          </w:tcPr>
          <w:p w14:paraId="417A0F14">
            <w:pPr>
              <w:widowControl/>
              <w:jc w:val="center"/>
              <w:rPr>
                <w:rFonts w:ascii="仿宋_GB2312" w:hAnsi="等线" w:eastAsia="仿宋_GB2312" w:cs="宋体"/>
                <w:b/>
                <w:bCs/>
                <w:sz w:val="21"/>
                <w:szCs w:val="21"/>
                <w:lang w:eastAsia="zh-CN" w:bidi="ar-SA"/>
              </w:rPr>
            </w:pPr>
            <w:r>
              <w:rPr>
                <w:rFonts w:hint="eastAsia" w:ascii="仿宋_GB2312" w:hAnsi="等线" w:eastAsia="仿宋_GB2312" w:cs="宋体"/>
                <w:b/>
                <w:bCs/>
                <w:sz w:val="21"/>
                <w:szCs w:val="21"/>
                <w:lang w:eastAsia="zh-CN" w:bidi="ar-SA"/>
              </w:rPr>
              <w:t>202</w:t>
            </w:r>
            <w:r>
              <w:rPr>
                <w:rFonts w:hint="eastAsia" w:ascii="仿宋_GB2312" w:hAnsi="等线" w:eastAsia="仿宋_GB2312" w:cs="宋体"/>
                <w:b/>
                <w:bCs/>
                <w:sz w:val="21"/>
                <w:szCs w:val="21"/>
                <w:lang w:val="en-US" w:eastAsia="zh-CN" w:bidi="ar-SA"/>
              </w:rPr>
              <w:t>4</w:t>
            </w:r>
            <w:r>
              <w:rPr>
                <w:rFonts w:hint="eastAsia" w:ascii="仿宋_GB2312" w:hAnsi="等线" w:eastAsia="仿宋_GB2312" w:cs="宋体"/>
                <w:b/>
                <w:bCs/>
                <w:sz w:val="21"/>
                <w:szCs w:val="21"/>
                <w:lang w:eastAsia="zh-CN" w:bidi="ar-SA"/>
              </w:rPr>
              <w:t>年情况</w:t>
            </w:r>
          </w:p>
        </w:tc>
      </w:tr>
      <w:tr w14:paraId="6E281BB1">
        <w:tblPrEx>
          <w:tblCellMar>
            <w:top w:w="0" w:type="dxa"/>
            <w:left w:w="108" w:type="dxa"/>
            <w:bottom w:w="0" w:type="dxa"/>
            <w:right w:w="108" w:type="dxa"/>
          </w:tblCellMar>
        </w:tblPrEx>
        <w:trPr>
          <w:trHeight w:val="440" w:hRule="atLeast"/>
          <w:jc w:val="center"/>
        </w:trPr>
        <w:tc>
          <w:tcPr>
            <w:tcW w:w="2914" w:type="dxa"/>
            <w:tcBorders>
              <w:top w:val="nil"/>
              <w:left w:val="single" w:color="auto" w:sz="4" w:space="0"/>
              <w:bottom w:val="single" w:color="auto" w:sz="4" w:space="0"/>
              <w:right w:val="single" w:color="auto" w:sz="4" w:space="0"/>
            </w:tcBorders>
            <w:shd w:val="clear" w:color="auto" w:fill="auto"/>
            <w:vAlign w:val="center"/>
          </w:tcPr>
          <w:p w14:paraId="102E81EF">
            <w:pPr>
              <w:widowControl/>
              <w:jc w:val="center"/>
              <w:rPr>
                <w:rFonts w:ascii="仿宋_GB2312" w:hAnsi="等线" w:eastAsia="仿宋_GB2312" w:cs="宋体"/>
                <w:sz w:val="21"/>
                <w:szCs w:val="21"/>
                <w:lang w:eastAsia="zh-CN" w:bidi="ar-SA"/>
              </w:rPr>
            </w:pPr>
            <w:r>
              <w:rPr>
                <w:rFonts w:hint="eastAsia" w:ascii="仿宋_GB2312" w:hAnsi="等线" w:eastAsia="仿宋_GB2312" w:cs="宋体"/>
                <w:sz w:val="21"/>
                <w:szCs w:val="21"/>
                <w:lang w:eastAsia="zh-CN" w:bidi="ar-SA"/>
              </w:rPr>
              <w:t xml:space="preserve">营业收入 </w:t>
            </w:r>
          </w:p>
        </w:tc>
        <w:tc>
          <w:tcPr>
            <w:tcW w:w="2895" w:type="dxa"/>
            <w:tcBorders>
              <w:top w:val="nil"/>
              <w:left w:val="nil"/>
              <w:bottom w:val="single" w:color="auto" w:sz="4" w:space="0"/>
              <w:right w:val="single" w:color="auto" w:sz="4" w:space="0"/>
            </w:tcBorders>
            <w:shd w:val="clear" w:color="auto" w:fill="auto"/>
            <w:vAlign w:val="center"/>
          </w:tcPr>
          <w:p w14:paraId="4D68A84B">
            <w:pPr>
              <w:widowControl/>
              <w:jc w:val="center"/>
              <w:textAlignment w:val="center"/>
              <w:rPr>
                <w:rFonts w:hint="default" w:ascii="仿宋_GB2312" w:hAnsi="等线" w:eastAsia="仿宋_GB2312" w:cs="宋体"/>
                <w:sz w:val="21"/>
                <w:szCs w:val="21"/>
                <w:lang w:val="en-US" w:eastAsia="zh-CN" w:bidi="ar-SA"/>
              </w:rPr>
            </w:pPr>
            <w:r>
              <w:rPr>
                <w:rFonts w:hint="eastAsia" w:ascii="仿宋_GB2312" w:hAnsi="等线" w:eastAsia="仿宋_GB2312" w:cs="宋体"/>
                <w:sz w:val="21"/>
                <w:szCs w:val="21"/>
                <w:lang w:val="en-US" w:eastAsia="zh-CN" w:bidi="ar-SA"/>
              </w:rPr>
              <w:t>5046</w:t>
            </w:r>
          </w:p>
        </w:tc>
      </w:tr>
      <w:tr w14:paraId="08C3F056">
        <w:tblPrEx>
          <w:tblCellMar>
            <w:top w:w="0" w:type="dxa"/>
            <w:left w:w="108" w:type="dxa"/>
            <w:bottom w:w="0" w:type="dxa"/>
            <w:right w:w="108" w:type="dxa"/>
          </w:tblCellMar>
        </w:tblPrEx>
        <w:trPr>
          <w:trHeight w:val="440" w:hRule="atLeast"/>
          <w:jc w:val="center"/>
        </w:trPr>
        <w:tc>
          <w:tcPr>
            <w:tcW w:w="2914" w:type="dxa"/>
            <w:tcBorders>
              <w:top w:val="nil"/>
              <w:left w:val="single" w:color="auto" w:sz="4" w:space="0"/>
              <w:bottom w:val="single" w:color="auto" w:sz="4" w:space="0"/>
              <w:right w:val="single" w:color="auto" w:sz="4" w:space="0"/>
            </w:tcBorders>
            <w:shd w:val="clear" w:color="auto" w:fill="auto"/>
            <w:vAlign w:val="center"/>
          </w:tcPr>
          <w:p w14:paraId="575E5F94">
            <w:pPr>
              <w:widowControl/>
              <w:jc w:val="center"/>
              <w:rPr>
                <w:rFonts w:ascii="仿宋_GB2312" w:hAnsi="等线" w:eastAsia="仿宋_GB2312" w:cs="宋体"/>
                <w:sz w:val="21"/>
                <w:szCs w:val="21"/>
                <w:lang w:eastAsia="zh-CN" w:bidi="ar-SA"/>
              </w:rPr>
            </w:pPr>
            <w:r>
              <w:rPr>
                <w:rFonts w:hint="eastAsia" w:ascii="仿宋_GB2312" w:hAnsi="等线" w:eastAsia="仿宋_GB2312" w:cs="宋体"/>
                <w:sz w:val="21"/>
                <w:szCs w:val="21"/>
                <w:lang w:eastAsia="zh-CN" w:bidi="ar-SA"/>
              </w:rPr>
              <w:t>营业成本</w:t>
            </w:r>
          </w:p>
        </w:tc>
        <w:tc>
          <w:tcPr>
            <w:tcW w:w="2895" w:type="dxa"/>
            <w:tcBorders>
              <w:top w:val="nil"/>
              <w:left w:val="nil"/>
              <w:bottom w:val="single" w:color="auto" w:sz="4" w:space="0"/>
              <w:right w:val="single" w:color="auto" w:sz="4" w:space="0"/>
            </w:tcBorders>
            <w:shd w:val="clear" w:color="auto" w:fill="auto"/>
            <w:vAlign w:val="center"/>
          </w:tcPr>
          <w:p w14:paraId="6094A7F3">
            <w:pPr>
              <w:widowControl/>
              <w:jc w:val="center"/>
              <w:textAlignment w:val="center"/>
              <w:rPr>
                <w:rFonts w:hint="default" w:ascii="仿宋_GB2312" w:hAnsi="等线" w:eastAsia="仿宋_GB2312" w:cs="宋体"/>
                <w:sz w:val="21"/>
                <w:szCs w:val="21"/>
                <w:lang w:val="en-US" w:eastAsia="zh-CN" w:bidi="ar-SA"/>
              </w:rPr>
            </w:pPr>
            <w:r>
              <w:rPr>
                <w:rFonts w:hint="eastAsia" w:ascii="仿宋_GB2312" w:hAnsi="等线" w:eastAsia="仿宋_GB2312" w:cs="宋体"/>
                <w:sz w:val="21"/>
                <w:szCs w:val="21"/>
                <w:lang w:val="en-US" w:eastAsia="zh-CN" w:bidi="ar-SA"/>
              </w:rPr>
              <w:t>6093</w:t>
            </w:r>
          </w:p>
        </w:tc>
      </w:tr>
      <w:tr w14:paraId="00F36005">
        <w:tblPrEx>
          <w:tblCellMar>
            <w:top w:w="0" w:type="dxa"/>
            <w:left w:w="108" w:type="dxa"/>
            <w:bottom w:w="0" w:type="dxa"/>
            <w:right w:w="108" w:type="dxa"/>
          </w:tblCellMar>
        </w:tblPrEx>
        <w:trPr>
          <w:trHeight w:val="440" w:hRule="atLeast"/>
          <w:jc w:val="center"/>
        </w:trPr>
        <w:tc>
          <w:tcPr>
            <w:tcW w:w="2914" w:type="dxa"/>
            <w:tcBorders>
              <w:top w:val="nil"/>
              <w:left w:val="single" w:color="auto" w:sz="4" w:space="0"/>
              <w:bottom w:val="single" w:color="auto" w:sz="4" w:space="0"/>
              <w:right w:val="single" w:color="auto" w:sz="4" w:space="0"/>
            </w:tcBorders>
            <w:shd w:val="clear" w:color="auto" w:fill="auto"/>
            <w:vAlign w:val="center"/>
          </w:tcPr>
          <w:p w14:paraId="5AF058CF">
            <w:pPr>
              <w:widowControl/>
              <w:jc w:val="center"/>
              <w:rPr>
                <w:rFonts w:ascii="仿宋_GB2312" w:hAnsi="等线" w:eastAsia="仿宋_GB2312" w:cs="宋体"/>
                <w:sz w:val="21"/>
                <w:szCs w:val="21"/>
                <w:lang w:eastAsia="zh-CN" w:bidi="ar-SA"/>
              </w:rPr>
            </w:pPr>
            <w:r>
              <w:rPr>
                <w:rFonts w:hint="eastAsia" w:ascii="仿宋_GB2312" w:hAnsi="等线" w:eastAsia="仿宋_GB2312" w:cs="宋体"/>
                <w:sz w:val="21"/>
                <w:szCs w:val="21"/>
                <w:lang w:eastAsia="zh-CN" w:bidi="ar-SA"/>
              </w:rPr>
              <w:t>销售费用</w:t>
            </w:r>
          </w:p>
        </w:tc>
        <w:tc>
          <w:tcPr>
            <w:tcW w:w="2895" w:type="dxa"/>
            <w:tcBorders>
              <w:top w:val="nil"/>
              <w:left w:val="nil"/>
              <w:bottom w:val="single" w:color="auto" w:sz="4" w:space="0"/>
              <w:right w:val="single" w:color="auto" w:sz="4" w:space="0"/>
            </w:tcBorders>
            <w:shd w:val="clear" w:color="auto" w:fill="auto"/>
            <w:vAlign w:val="center"/>
          </w:tcPr>
          <w:p w14:paraId="76A485A7">
            <w:pPr>
              <w:jc w:val="center"/>
              <w:rPr>
                <w:rFonts w:hint="default" w:ascii="仿宋_GB2312" w:hAnsi="等线" w:eastAsia="仿宋_GB2312" w:cs="宋体"/>
                <w:sz w:val="21"/>
                <w:szCs w:val="21"/>
                <w:lang w:val="en-US" w:eastAsia="zh-CN" w:bidi="ar-SA"/>
              </w:rPr>
            </w:pPr>
            <w:r>
              <w:rPr>
                <w:rFonts w:hint="eastAsia" w:ascii="仿宋_GB2312" w:hAnsi="等线" w:eastAsia="仿宋_GB2312" w:cs="宋体"/>
                <w:sz w:val="21"/>
                <w:szCs w:val="21"/>
                <w:lang w:val="en-US" w:eastAsia="zh-CN" w:bidi="ar-SA"/>
              </w:rPr>
              <w:t>0</w:t>
            </w:r>
          </w:p>
        </w:tc>
      </w:tr>
      <w:tr w14:paraId="6A300DD0">
        <w:tblPrEx>
          <w:tblCellMar>
            <w:top w:w="0" w:type="dxa"/>
            <w:left w:w="108" w:type="dxa"/>
            <w:bottom w:w="0" w:type="dxa"/>
            <w:right w:w="108" w:type="dxa"/>
          </w:tblCellMar>
        </w:tblPrEx>
        <w:trPr>
          <w:trHeight w:val="440" w:hRule="atLeast"/>
          <w:jc w:val="center"/>
        </w:trPr>
        <w:tc>
          <w:tcPr>
            <w:tcW w:w="2914" w:type="dxa"/>
            <w:tcBorders>
              <w:top w:val="nil"/>
              <w:left w:val="single" w:color="auto" w:sz="4" w:space="0"/>
              <w:bottom w:val="single" w:color="auto" w:sz="4" w:space="0"/>
              <w:right w:val="single" w:color="auto" w:sz="4" w:space="0"/>
            </w:tcBorders>
            <w:shd w:val="clear" w:color="auto" w:fill="auto"/>
            <w:vAlign w:val="center"/>
          </w:tcPr>
          <w:p w14:paraId="7D38D5EC">
            <w:pPr>
              <w:widowControl/>
              <w:jc w:val="center"/>
              <w:rPr>
                <w:rFonts w:ascii="仿宋_GB2312" w:hAnsi="等线" w:eastAsia="仿宋_GB2312" w:cs="宋体"/>
                <w:sz w:val="21"/>
                <w:szCs w:val="21"/>
                <w:lang w:eastAsia="zh-CN" w:bidi="ar-SA"/>
              </w:rPr>
            </w:pPr>
            <w:r>
              <w:rPr>
                <w:rFonts w:hint="eastAsia" w:ascii="仿宋_GB2312" w:hAnsi="等线" w:eastAsia="仿宋_GB2312" w:cs="宋体"/>
                <w:sz w:val="21"/>
                <w:szCs w:val="21"/>
                <w:lang w:eastAsia="zh-CN" w:bidi="ar-SA"/>
              </w:rPr>
              <w:t>管理费用</w:t>
            </w:r>
          </w:p>
        </w:tc>
        <w:tc>
          <w:tcPr>
            <w:tcW w:w="2895" w:type="dxa"/>
            <w:tcBorders>
              <w:top w:val="nil"/>
              <w:left w:val="nil"/>
              <w:bottom w:val="single" w:color="auto" w:sz="4" w:space="0"/>
              <w:right w:val="single" w:color="auto" w:sz="4" w:space="0"/>
            </w:tcBorders>
            <w:shd w:val="clear" w:color="auto" w:fill="auto"/>
            <w:vAlign w:val="center"/>
          </w:tcPr>
          <w:p w14:paraId="75A26632">
            <w:pPr>
              <w:widowControl/>
              <w:jc w:val="center"/>
              <w:textAlignment w:val="center"/>
              <w:rPr>
                <w:rFonts w:hint="default" w:ascii="仿宋_GB2312" w:hAnsi="等线" w:eastAsia="仿宋_GB2312" w:cs="宋体"/>
                <w:sz w:val="21"/>
                <w:szCs w:val="21"/>
                <w:lang w:val="en-US" w:eastAsia="zh-CN" w:bidi="ar-SA"/>
              </w:rPr>
            </w:pPr>
            <w:r>
              <w:rPr>
                <w:rFonts w:hint="eastAsia" w:ascii="仿宋_GB2312" w:hAnsi="等线" w:eastAsia="仿宋_GB2312" w:cs="宋体"/>
                <w:sz w:val="21"/>
                <w:szCs w:val="21"/>
                <w:lang w:val="en-US" w:eastAsia="zh-CN" w:bidi="ar-SA"/>
              </w:rPr>
              <w:t>0.39</w:t>
            </w:r>
          </w:p>
        </w:tc>
      </w:tr>
      <w:tr w14:paraId="7DE46445">
        <w:tblPrEx>
          <w:tblCellMar>
            <w:top w:w="0" w:type="dxa"/>
            <w:left w:w="108" w:type="dxa"/>
            <w:bottom w:w="0" w:type="dxa"/>
            <w:right w:w="108" w:type="dxa"/>
          </w:tblCellMar>
        </w:tblPrEx>
        <w:trPr>
          <w:trHeight w:val="440" w:hRule="atLeast"/>
          <w:jc w:val="center"/>
        </w:trPr>
        <w:tc>
          <w:tcPr>
            <w:tcW w:w="2914" w:type="dxa"/>
            <w:tcBorders>
              <w:top w:val="nil"/>
              <w:left w:val="single" w:color="auto" w:sz="4" w:space="0"/>
              <w:bottom w:val="single" w:color="auto" w:sz="4" w:space="0"/>
              <w:right w:val="single" w:color="auto" w:sz="4" w:space="0"/>
            </w:tcBorders>
            <w:shd w:val="clear" w:color="auto" w:fill="auto"/>
            <w:vAlign w:val="center"/>
          </w:tcPr>
          <w:p w14:paraId="376B2B00">
            <w:pPr>
              <w:widowControl/>
              <w:jc w:val="center"/>
              <w:rPr>
                <w:rFonts w:ascii="仿宋_GB2312" w:hAnsi="等线" w:eastAsia="仿宋_GB2312" w:cs="宋体"/>
                <w:sz w:val="21"/>
                <w:szCs w:val="21"/>
                <w:lang w:eastAsia="zh-CN" w:bidi="ar-SA"/>
              </w:rPr>
            </w:pPr>
            <w:r>
              <w:rPr>
                <w:rFonts w:hint="eastAsia" w:ascii="仿宋_GB2312" w:hAnsi="等线" w:eastAsia="仿宋_GB2312" w:cs="宋体"/>
                <w:sz w:val="21"/>
                <w:szCs w:val="21"/>
                <w:lang w:eastAsia="zh-CN" w:bidi="ar-SA"/>
              </w:rPr>
              <w:t>财务费用</w:t>
            </w:r>
          </w:p>
        </w:tc>
        <w:tc>
          <w:tcPr>
            <w:tcW w:w="2895" w:type="dxa"/>
            <w:tcBorders>
              <w:top w:val="nil"/>
              <w:left w:val="nil"/>
              <w:bottom w:val="single" w:color="auto" w:sz="4" w:space="0"/>
              <w:right w:val="single" w:color="auto" w:sz="4" w:space="0"/>
            </w:tcBorders>
            <w:shd w:val="clear" w:color="auto" w:fill="auto"/>
            <w:vAlign w:val="center"/>
          </w:tcPr>
          <w:p w14:paraId="2A3007D6">
            <w:pPr>
              <w:widowControl/>
              <w:jc w:val="center"/>
              <w:textAlignment w:val="center"/>
              <w:rPr>
                <w:rFonts w:hint="default" w:ascii="仿宋_GB2312" w:hAnsi="等线" w:eastAsia="仿宋_GB2312" w:cs="宋体"/>
                <w:sz w:val="21"/>
                <w:szCs w:val="21"/>
                <w:lang w:val="en-US" w:eastAsia="zh-CN" w:bidi="ar-SA"/>
              </w:rPr>
            </w:pPr>
            <w:r>
              <w:rPr>
                <w:rFonts w:hint="eastAsia" w:ascii="仿宋_GB2312" w:hAnsi="等线" w:eastAsia="仿宋_GB2312" w:cs="宋体"/>
                <w:sz w:val="21"/>
                <w:szCs w:val="21"/>
                <w:lang w:val="en-US" w:eastAsia="zh-CN" w:bidi="ar-SA"/>
              </w:rPr>
              <w:t>2832</w:t>
            </w:r>
          </w:p>
        </w:tc>
      </w:tr>
      <w:tr w14:paraId="0C68C944">
        <w:tblPrEx>
          <w:tblCellMar>
            <w:top w:w="0" w:type="dxa"/>
            <w:left w:w="108" w:type="dxa"/>
            <w:bottom w:w="0" w:type="dxa"/>
            <w:right w:w="108" w:type="dxa"/>
          </w:tblCellMar>
        </w:tblPrEx>
        <w:trPr>
          <w:trHeight w:val="440" w:hRule="atLeast"/>
          <w:jc w:val="center"/>
        </w:trPr>
        <w:tc>
          <w:tcPr>
            <w:tcW w:w="2914" w:type="dxa"/>
            <w:tcBorders>
              <w:top w:val="nil"/>
              <w:left w:val="single" w:color="auto" w:sz="4" w:space="0"/>
              <w:bottom w:val="single" w:color="auto" w:sz="4" w:space="0"/>
              <w:right w:val="single" w:color="auto" w:sz="4" w:space="0"/>
            </w:tcBorders>
            <w:shd w:val="clear" w:color="auto" w:fill="auto"/>
            <w:vAlign w:val="center"/>
          </w:tcPr>
          <w:p w14:paraId="59DA7F28">
            <w:pPr>
              <w:widowControl/>
              <w:jc w:val="center"/>
              <w:rPr>
                <w:rFonts w:ascii="仿宋_GB2312" w:hAnsi="等线" w:eastAsia="仿宋_GB2312" w:cs="宋体"/>
                <w:sz w:val="21"/>
                <w:szCs w:val="21"/>
                <w:lang w:eastAsia="zh-CN" w:bidi="ar-SA"/>
              </w:rPr>
            </w:pPr>
            <w:r>
              <w:rPr>
                <w:rFonts w:hint="eastAsia" w:ascii="仿宋_GB2312" w:hAnsi="等线" w:eastAsia="仿宋_GB2312" w:cs="宋体"/>
                <w:sz w:val="21"/>
                <w:szCs w:val="21"/>
                <w:lang w:eastAsia="zh-CN" w:bidi="ar-SA"/>
              </w:rPr>
              <w:t>营业利润</w:t>
            </w:r>
          </w:p>
        </w:tc>
        <w:tc>
          <w:tcPr>
            <w:tcW w:w="2895" w:type="dxa"/>
            <w:tcBorders>
              <w:top w:val="nil"/>
              <w:left w:val="nil"/>
              <w:bottom w:val="single" w:color="auto" w:sz="4" w:space="0"/>
              <w:right w:val="single" w:color="auto" w:sz="4" w:space="0"/>
            </w:tcBorders>
            <w:shd w:val="clear" w:color="auto" w:fill="auto"/>
            <w:vAlign w:val="center"/>
          </w:tcPr>
          <w:p w14:paraId="1C7AEEFB">
            <w:pPr>
              <w:widowControl/>
              <w:jc w:val="center"/>
              <w:textAlignment w:val="center"/>
              <w:rPr>
                <w:rFonts w:hint="default" w:ascii="仿宋_GB2312" w:hAnsi="等线" w:eastAsia="仿宋_GB2312" w:cs="宋体"/>
                <w:sz w:val="21"/>
                <w:szCs w:val="21"/>
                <w:lang w:val="en-US" w:eastAsia="zh-CN" w:bidi="ar-SA"/>
              </w:rPr>
            </w:pPr>
            <w:r>
              <w:rPr>
                <w:rFonts w:hint="eastAsia" w:ascii="仿宋_GB2312" w:hAnsi="等线" w:eastAsia="仿宋_GB2312" w:cs="宋体"/>
                <w:sz w:val="21"/>
                <w:szCs w:val="21"/>
                <w:lang w:val="en-US" w:eastAsia="zh-CN" w:bidi="ar-SA"/>
              </w:rPr>
              <w:t>-3805</w:t>
            </w:r>
          </w:p>
        </w:tc>
      </w:tr>
      <w:tr w14:paraId="7D102E12">
        <w:tblPrEx>
          <w:tblCellMar>
            <w:top w:w="0" w:type="dxa"/>
            <w:left w:w="108" w:type="dxa"/>
            <w:bottom w:w="0" w:type="dxa"/>
            <w:right w:w="108" w:type="dxa"/>
          </w:tblCellMar>
        </w:tblPrEx>
        <w:trPr>
          <w:trHeight w:val="440" w:hRule="atLeast"/>
          <w:jc w:val="center"/>
        </w:trPr>
        <w:tc>
          <w:tcPr>
            <w:tcW w:w="2914" w:type="dxa"/>
            <w:tcBorders>
              <w:top w:val="nil"/>
              <w:left w:val="single" w:color="auto" w:sz="4" w:space="0"/>
              <w:bottom w:val="single" w:color="auto" w:sz="4" w:space="0"/>
              <w:right w:val="single" w:color="auto" w:sz="4" w:space="0"/>
            </w:tcBorders>
            <w:shd w:val="clear" w:color="auto" w:fill="auto"/>
            <w:vAlign w:val="center"/>
          </w:tcPr>
          <w:p w14:paraId="1EF7FBA3">
            <w:pPr>
              <w:widowControl/>
              <w:jc w:val="center"/>
              <w:rPr>
                <w:rFonts w:ascii="仿宋_GB2312" w:hAnsi="等线" w:eastAsia="仿宋_GB2312" w:cs="宋体"/>
                <w:sz w:val="21"/>
                <w:szCs w:val="21"/>
                <w:lang w:eastAsia="zh-CN" w:bidi="ar-SA"/>
              </w:rPr>
            </w:pPr>
            <w:r>
              <w:rPr>
                <w:rFonts w:hint="eastAsia" w:ascii="仿宋_GB2312" w:hAnsi="等线" w:eastAsia="仿宋_GB2312" w:cs="宋体"/>
                <w:sz w:val="21"/>
                <w:szCs w:val="21"/>
                <w:lang w:eastAsia="zh-CN" w:bidi="ar-SA"/>
              </w:rPr>
              <w:t>利润总额</w:t>
            </w:r>
          </w:p>
        </w:tc>
        <w:tc>
          <w:tcPr>
            <w:tcW w:w="2895" w:type="dxa"/>
            <w:tcBorders>
              <w:top w:val="nil"/>
              <w:left w:val="nil"/>
              <w:bottom w:val="single" w:color="auto" w:sz="4" w:space="0"/>
              <w:right w:val="single" w:color="auto" w:sz="4" w:space="0"/>
            </w:tcBorders>
            <w:shd w:val="clear" w:color="auto" w:fill="auto"/>
            <w:vAlign w:val="center"/>
          </w:tcPr>
          <w:p w14:paraId="46E5B305">
            <w:pPr>
              <w:widowControl/>
              <w:jc w:val="center"/>
              <w:textAlignment w:val="center"/>
              <w:rPr>
                <w:rFonts w:hint="default" w:ascii="仿宋_GB2312" w:hAnsi="等线" w:eastAsia="仿宋_GB2312" w:cs="宋体"/>
                <w:sz w:val="21"/>
                <w:szCs w:val="21"/>
                <w:lang w:val="en-US" w:eastAsia="zh-CN" w:bidi="ar-SA"/>
              </w:rPr>
            </w:pPr>
            <w:r>
              <w:rPr>
                <w:rFonts w:hint="eastAsia" w:ascii="仿宋_GB2312" w:hAnsi="等线" w:eastAsia="仿宋_GB2312" w:cs="宋体"/>
                <w:sz w:val="21"/>
                <w:szCs w:val="21"/>
                <w:lang w:val="en-US" w:eastAsia="zh-CN" w:bidi="ar-SA"/>
              </w:rPr>
              <w:t>-3805</w:t>
            </w:r>
          </w:p>
        </w:tc>
      </w:tr>
      <w:tr w14:paraId="308048F1">
        <w:tblPrEx>
          <w:tblCellMar>
            <w:top w:w="0" w:type="dxa"/>
            <w:left w:w="108" w:type="dxa"/>
            <w:bottom w:w="0" w:type="dxa"/>
            <w:right w:w="108" w:type="dxa"/>
          </w:tblCellMar>
        </w:tblPrEx>
        <w:trPr>
          <w:trHeight w:val="440" w:hRule="atLeast"/>
          <w:jc w:val="center"/>
        </w:trPr>
        <w:tc>
          <w:tcPr>
            <w:tcW w:w="2914" w:type="dxa"/>
            <w:tcBorders>
              <w:top w:val="nil"/>
              <w:left w:val="single" w:color="auto" w:sz="4" w:space="0"/>
              <w:bottom w:val="single" w:color="auto" w:sz="4" w:space="0"/>
              <w:right w:val="single" w:color="auto" w:sz="4" w:space="0"/>
            </w:tcBorders>
            <w:shd w:val="clear" w:color="auto" w:fill="auto"/>
            <w:vAlign w:val="center"/>
          </w:tcPr>
          <w:p w14:paraId="375B9CDE">
            <w:pPr>
              <w:widowControl/>
              <w:jc w:val="center"/>
              <w:rPr>
                <w:rFonts w:ascii="仿宋_GB2312" w:hAnsi="等线" w:eastAsia="仿宋_GB2312" w:cs="宋体"/>
                <w:sz w:val="21"/>
                <w:szCs w:val="21"/>
                <w:lang w:eastAsia="zh-CN" w:bidi="ar-SA"/>
              </w:rPr>
            </w:pPr>
            <w:r>
              <w:rPr>
                <w:rFonts w:hint="eastAsia" w:ascii="仿宋_GB2312" w:hAnsi="等线" w:eastAsia="仿宋_GB2312" w:cs="宋体"/>
                <w:sz w:val="21"/>
                <w:szCs w:val="21"/>
                <w:lang w:eastAsia="zh-CN" w:bidi="ar-SA"/>
              </w:rPr>
              <w:t>净利润</w:t>
            </w:r>
          </w:p>
        </w:tc>
        <w:tc>
          <w:tcPr>
            <w:tcW w:w="2895" w:type="dxa"/>
            <w:tcBorders>
              <w:top w:val="nil"/>
              <w:left w:val="nil"/>
              <w:bottom w:val="single" w:color="auto" w:sz="4" w:space="0"/>
              <w:right w:val="single" w:color="auto" w:sz="4" w:space="0"/>
            </w:tcBorders>
            <w:shd w:val="clear" w:color="auto" w:fill="auto"/>
            <w:vAlign w:val="center"/>
          </w:tcPr>
          <w:p w14:paraId="3B5916C4">
            <w:pPr>
              <w:widowControl/>
              <w:jc w:val="center"/>
              <w:textAlignment w:val="center"/>
              <w:rPr>
                <w:rFonts w:hint="default" w:ascii="仿宋_GB2312" w:hAnsi="等线" w:eastAsia="仿宋_GB2312" w:cs="宋体"/>
                <w:sz w:val="21"/>
                <w:szCs w:val="21"/>
                <w:lang w:val="en-US" w:eastAsia="zh-CN" w:bidi="ar-SA"/>
              </w:rPr>
            </w:pPr>
            <w:r>
              <w:rPr>
                <w:rFonts w:hint="eastAsia" w:ascii="仿宋_GB2312" w:hAnsi="等线" w:eastAsia="仿宋_GB2312" w:cs="宋体"/>
                <w:sz w:val="21"/>
                <w:szCs w:val="21"/>
                <w:lang w:val="en-US" w:eastAsia="zh-CN" w:bidi="ar-SA"/>
              </w:rPr>
              <w:t>-3805</w:t>
            </w:r>
          </w:p>
        </w:tc>
      </w:tr>
      <w:tr w14:paraId="2F0102EB">
        <w:tblPrEx>
          <w:tblCellMar>
            <w:top w:w="0" w:type="dxa"/>
            <w:left w:w="108" w:type="dxa"/>
            <w:bottom w:w="0" w:type="dxa"/>
            <w:right w:w="108" w:type="dxa"/>
          </w:tblCellMar>
        </w:tblPrEx>
        <w:trPr>
          <w:trHeight w:val="440" w:hRule="atLeast"/>
          <w:jc w:val="center"/>
        </w:trPr>
        <w:tc>
          <w:tcPr>
            <w:tcW w:w="2914" w:type="dxa"/>
            <w:tcBorders>
              <w:top w:val="nil"/>
              <w:left w:val="single" w:color="auto" w:sz="4" w:space="0"/>
              <w:bottom w:val="single" w:color="auto" w:sz="4" w:space="0"/>
              <w:right w:val="single" w:color="auto" w:sz="4" w:space="0"/>
            </w:tcBorders>
            <w:shd w:val="clear" w:color="auto" w:fill="auto"/>
            <w:vAlign w:val="center"/>
          </w:tcPr>
          <w:p w14:paraId="1C4A26D4">
            <w:pPr>
              <w:widowControl/>
              <w:jc w:val="center"/>
              <w:rPr>
                <w:rFonts w:ascii="仿宋_GB2312" w:hAnsi="等线" w:eastAsia="仿宋_GB2312" w:cs="宋体"/>
                <w:sz w:val="21"/>
                <w:szCs w:val="21"/>
                <w:lang w:eastAsia="zh-CN" w:bidi="ar-SA"/>
              </w:rPr>
            </w:pPr>
            <w:r>
              <w:rPr>
                <w:rFonts w:hint="eastAsia" w:ascii="仿宋_GB2312" w:hAnsi="等线" w:eastAsia="仿宋_GB2312" w:cs="宋体"/>
                <w:sz w:val="21"/>
                <w:szCs w:val="21"/>
                <w:lang w:eastAsia="zh-CN" w:bidi="ar-SA"/>
              </w:rPr>
              <w:t>营业利润率</w:t>
            </w:r>
          </w:p>
        </w:tc>
        <w:tc>
          <w:tcPr>
            <w:tcW w:w="2895" w:type="dxa"/>
            <w:tcBorders>
              <w:top w:val="nil"/>
              <w:left w:val="nil"/>
              <w:bottom w:val="single" w:color="auto" w:sz="4" w:space="0"/>
              <w:right w:val="single" w:color="auto" w:sz="4" w:space="0"/>
            </w:tcBorders>
            <w:shd w:val="clear" w:color="auto" w:fill="auto"/>
            <w:vAlign w:val="center"/>
          </w:tcPr>
          <w:p w14:paraId="7405D988">
            <w:pPr>
              <w:widowControl/>
              <w:jc w:val="center"/>
              <w:textAlignment w:val="center"/>
              <w:rPr>
                <w:rFonts w:hint="default" w:ascii="仿宋_GB2312" w:hAnsi="等线" w:eastAsia="仿宋_GB2312" w:cs="宋体"/>
                <w:sz w:val="21"/>
                <w:szCs w:val="21"/>
                <w:lang w:val="en-US" w:eastAsia="zh-CN" w:bidi="ar-SA"/>
              </w:rPr>
            </w:pPr>
            <w:r>
              <w:rPr>
                <w:rFonts w:hint="eastAsia" w:ascii="仿宋_GB2312" w:hAnsi="等线" w:eastAsia="仿宋_GB2312" w:cs="宋体"/>
                <w:sz w:val="21"/>
                <w:szCs w:val="21"/>
                <w:lang w:val="en-US" w:eastAsia="zh-CN" w:bidi="ar-SA"/>
              </w:rPr>
              <w:t>-75.42%</w:t>
            </w:r>
          </w:p>
        </w:tc>
      </w:tr>
      <w:tr w14:paraId="1F93640D">
        <w:tblPrEx>
          <w:tblCellMar>
            <w:top w:w="0" w:type="dxa"/>
            <w:left w:w="108" w:type="dxa"/>
            <w:bottom w:w="0" w:type="dxa"/>
            <w:right w:w="108" w:type="dxa"/>
          </w:tblCellMar>
        </w:tblPrEx>
        <w:trPr>
          <w:trHeight w:val="440" w:hRule="atLeast"/>
          <w:jc w:val="center"/>
        </w:trPr>
        <w:tc>
          <w:tcPr>
            <w:tcW w:w="2914" w:type="dxa"/>
            <w:tcBorders>
              <w:top w:val="nil"/>
              <w:left w:val="single" w:color="auto" w:sz="4" w:space="0"/>
              <w:bottom w:val="single" w:color="auto" w:sz="4" w:space="0"/>
              <w:right w:val="single" w:color="auto" w:sz="4" w:space="0"/>
            </w:tcBorders>
            <w:shd w:val="clear" w:color="auto" w:fill="auto"/>
            <w:vAlign w:val="center"/>
          </w:tcPr>
          <w:p w14:paraId="65154F80">
            <w:pPr>
              <w:widowControl/>
              <w:jc w:val="center"/>
              <w:rPr>
                <w:rFonts w:ascii="仿宋_GB2312" w:hAnsi="等线" w:eastAsia="仿宋_GB2312" w:cs="宋体"/>
                <w:sz w:val="21"/>
                <w:szCs w:val="21"/>
                <w:lang w:eastAsia="zh-CN" w:bidi="ar-SA"/>
              </w:rPr>
            </w:pPr>
            <w:r>
              <w:rPr>
                <w:rFonts w:hint="eastAsia" w:ascii="仿宋_GB2312" w:hAnsi="等线" w:eastAsia="仿宋_GB2312" w:cs="宋体"/>
                <w:sz w:val="21"/>
                <w:szCs w:val="21"/>
                <w:lang w:eastAsia="zh-CN" w:bidi="ar-SA"/>
              </w:rPr>
              <w:t>净资产收益率</w:t>
            </w:r>
          </w:p>
        </w:tc>
        <w:tc>
          <w:tcPr>
            <w:tcW w:w="2895" w:type="dxa"/>
            <w:tcBorders>
              <w:top w:val="nil"/>
              <w:left w:val="nil"/>
              <w:bottom w:val="single" w:color="auto" w:sz="4" w:space="0"/>
              <w:right w:val="single" w:color="auto" w:sz="4" w:space="0"/>
            </w:tcBorders>
            <w:shd w:val="clear" w:color="auto" w:fill="auto"/>
            <w:vAlign w:val="center"/>
          </w:tcPr>
          <w:p w14:paraId="66076811">
            <w:pPr>
              <w:widowControl/>
              <w:jc w:val="center"/>
              <w:textAlignment w:val="center"/>
              <w:rPr>
                <w:rFonts w:hint="default" w:ascii="仿宋_GB2312" w:hAnsi="等线" w:eastAsia="仿宋_GB2312" w:cs="宋体"/>
                <w:sz w:val="21"/>
                <w:szCs w:val="21"/>
                <w:lang w:val="en-US" w:eastAsia="zh-CN" w:bidi="ar-SA"/>
              </w:rPr>
            </w:pPr>
            <w:r>
              <w:rPr>
                <w:rFonts w:hint="eastAsia" w:ascii="仿宋_GB2312" w:hAnsi="等线" w:eastAsia="仿宋_GB2312" w:cs="宋体"/>
                <w:sz w:val="21"/>
                <w:szCs w:val="21"/>
                <w:lang w:val="en-US" w:eastAsia="zh-CN" w:bidi="ar-SA"/>
              </w:rPr>
              <w:t>-33.42%</w:t>
            </w:r>
          </w:p>
        </w:tc>
      </w:tr>
      <w:tr w14:paraId="0436690A">
        <w:tblPrEx>
          <w:tblCellMar>
            <w:top w:w="0" w:type="dxa"/>
            <w:left w:w="108" w:type="dxa"/>
            <w:bottom w:w="0" w:type="dxa"/>
            <w:right w:w="108" w:type="dxa"/>
          </w:tblCellMar>
        </w:tblPrEx>
        <w:trPr>
          <w:trHeight w:val="440" w:hRule="atLeast"/>
          <w:jc w:val="center"/>
        </w:trPr>
        <w:tc>
          <w:tcPr>
            <w:tcW w:w="2914" w:type="dxa"/>
            <w:tcBorders>
              <w:top w:val="nil"/>
              <w:left w:val="single" w:color="auto" w:sz="4" w:space="0"/>
              <w:bottom w:val="single" w:color="auto" w:sz="4" w:space="0"/>
              <w:right w:val="single" w:color="auto" w:sz="4" w:space="0"/>
            </w:tcBorders>
            <w:shd w:val="clear" w:color="auto" w:fill="auto"/>
            <w:vAlign w:val="center"/>
          </w:tcPr>
          <w:p w14:paraId="14054180">
            <w:pPr>
              <w:widowControl/>
              <w:jc w:val="center"/>
              <w:rPr>
                <w:rFonts w:ascii="仿宋_GB2312" w:hAnsi="等线" w:eastAsia="仿宋_GB2312" w:cs="宋体"/>
                <w:sz w:val="21"/>
                <w:szCs w:val="21"/>
                <w:lang w:eastAsia="zh-CN" w:bidi="ar-SA"/>
              </w:rPr>
            </w:pPr>
            <w:r>
              <w:rPr>
                <w:rFonts w:hint="eastAsia" w:ascii="仿宋_GB2312" w:hAnsi="等线" w:eastAsia="仿宋_GB2312" w:cs="宋体"/>
                <w:sz w:val="21"/>
                <w:szCs w:val="21"/>
                <w:lang w:val="en-US" w:eastAsia="zh-CN" w:bidi="ar-SA"/>
              </w:rPr>
              <w:t>已交税费总额</w:t>
            </w:r>
          </w:p>
        </w:tc>
        <w:tc>
          <w:tcPr>
            <w:tcW w:w="2895" w:type="dxa"/>
            <w:tcBorders>
              <w:top w:val="nil"/>
              <w:left w:val="nil"/>
              <w:bottom w:val="single" w:color="auto" w:sz="4" w:space="0"/>
              <w:right w:val="single" w:color="auto" w:sz="4" w:space="0"/>
            </w:tcBorders>
            <w:shd w:val="clear" w:color="auto" w:fill="auto"/>
            <w:vAlign w:val="center"/>
          </w:tcPr>
          <w:p w14:paraId="50901B84">
            <w:pPr>
              <w:widowControl/>
              <w:jc w:val="center"/>
              <w:textAlignment w:val="center"/>
              <w:rPr>
                <w:rFonts w:hint="default" w:ascii="仿宋_GB2312" w:hAnsi="等线" w:eastAsia="仿宋_GB2312" w:cs="宋体"/>
                <w:sz w:val="21"/>
                <w:szCs w:val="21"/>
                <w:lang w:val="en-US" w:eastAsia="zh-CN" w:bidi="ar-SA"/>
              </w:rPr>
            </w:pPr>
            <w:r>
              <w:rPr>
                <w:rFonts w:hint="eastAsia" w:ascii="仿宋_GB2312" w:hAnsi="等线" w:eastAsia="仿宋_GB2312" w:cs="宋体"/>
                <w:sz w:val="21"/>
                <w:szCs w:val="21"/>
                <w:lang w:val="en-US" w:eastAsia="zh-CN" w:bidi="ar-SA"/>
              </w:rPr>
              <w:t>111</w:t>
            </w:r>
          </w:p>
        </w:tc>
      </w:tr>
      <w:tr w14:paraId="6D6351A5">
        <w:tblPrEx>
          <w:tblCellMar>
            <w:top w:w="0" w:type="dxa"/>
            <w:left w:w="108" w:type="dxa"/>
            <w:bottom w:w="0" w:type="dxa"/>
            <w:right w:w="108" w:type="dxa"/>
          </w:tblCellMar>
        </w:tblPrEx>
        <w:trPr>
          <w:trHeight w:val="440" w:hRule="atLeast"/>
          <w:jc w:val="center"/>
        </w:trPr>
        <w:tc>
          <w:tcPr>
            <w:tcW w:w="2914" w:type="dxa"/>
            <w:tcBorders>
              <w:top w:val="nil"/>
              <w:left w:val="nil"/>
              <w:bottom w:val="nil"/>
              <w:right w:val="nil"/>
            </w:tcBorders>
            <w:shd w:val="clear" w:color="auto" w:fill="auto"/>
            <w:noWrap/>
            <w:vAlign w:val="center"/>
          </w:tcPr>
          <w:p w14:paraId="64199597">
            <w:pPr>
              <w:widowControl/>
              <w:jc w:val="center"/>
              <w:rPr>
                <w:rFonts w:ascii="等线" w:hAnsi="等线" w:eastAsia="等线" w:cs="宋体"/>
                <w:lang w:eastAsia="zh-CN" w:bidi="ar-SA"/>
              </w:rPr>
            </w:pPr>
            <w:r>
              <w:rPr>
                <w:rFonts w:hint="eastAsia" w:ascii="等线" w:hAnsi="等线" w:eastAsia="等线" w:cs="宋体"/>
                <w:lang w:eastAsia="zh-CN" w:bidi="ar-SA"/>
              </w:rPr>
              <w:t xml:space="preserve"> </w:t>
            </w:r>
          </w:p>
        </w:tc>
        <w:tc>
          <w:tcPr>
            <w:tcW w:w="2895" w:type="dxa"/>
            <w:tcBorders>
              <w:top w:val="nil"/>
              <w:left w:val="nil"/>
              <w:bottom w:val="nil"/>
              <w:right w:val="nil"/>
            </w:tcBorders>
            <w:shd w:val="clear" w:color="auto" w:fill="auto"/>
            <w:noWrap/>
            <w:vAlign w:val="center"/>
          </w:tcPr>
          <w:p w14:paraId="49DD21B4">
            <w:pPr>
              <w:widowControl/>
              <w:jc w:val="center"/>
              <w:rPr>
                <w:rFonts w:ascii="等线" w:hAnsi="等线" w:eastAsia="等线" w:cs="宋体"/>
                <w:lang w:eastAsia="zh-CN" w:bidi="ar-SA"/>
              </w:rPr>
            </w:pPr>
          </w:p>
        </w:tc>
      </w:tr>
      <w:tr w14:paraId="2E63C4EC">
        <w:tblPrEx>
          <w:tblCellMar>
            <w:top w:w="0" w:type="dxa"/>
            <w:left w:w="108" w:type="dxa"/>
            <w:bottom w:w="0" w:type="dxa"/>
            <w:right w:w="108" w:type="dxa"/>
          </w:tblCellMar>
        </w:tblPrEx>
        <w:trPr>
          <w:trHeight w:val="440" w:hRule="atLeast"/>
          <w:jc w:val="center"/>
        </w:trPr>
        <w:tc>
          <w:tcPr>
            <w:tcW w:w="2914" w:type="dxa"/>
            <w:tcBorders>
              <w:top w:val="single" w:color="auto" w:sz="4" w:space="0"/>
              <w:left w:val="single" w:color="auto" w:sz="4" w:space="0"/>
              <w:bottom w:val="single" w:color="auto" w:sz="4" w:space="0"/>
              <w:right w:val="single" w:color="auto" w:sz="4" w:space="0"/>
            </w:tcBorders>
            <w:shd w:val="clear" w:color="auto" w:fill="auto"/>
            <w:vAlign w:val="center"/>
          </w:tcPr>
          <w:p w14:paraId="0B7F0B88">
            <w:pPr>
              <w:widowControl/>
              <w:jc w:val="center"/>
              <w:rPr>
                <w:rFonts w:ascii="仿宋_GB2312" w:hAnsi="等线" w:eastAsia="仿宋_GB2312" w:cs="宋体"/>
                <w:b/>
                <w:bCs/>
                <w:sz w:val="21"/>
                <w:szCs w:val="21"/>
                <w:lang w:eastAsia="zh-CN" w:bidi="ar-SA"/>
              </w:rPr>
            </w:pPr>
            <w:r>
              <w:rPr>
                <w:rFonts w:hint="eastAsia" w:ascii="仿宋_GB2312" w:hAnsi="等线" w:eastAsia="仿宋_GB2312" w:cs="宋体"/>
                <w:b/>
                <w:bCs/>
                <w:sz w:val="21"/>
                <w:szCs w:val="21"/>
                <w:lang w:eastAsia="zh-CN" w:bidi="ar-SA"/>
              </w:rPr>
              <w:t>项目</w:t>
            </w:r>
          </w:p>
        </w:tc>
        <w:tc>
          <w:tcPr>
            <w:tcW w:w="2895" w:type="dxa"/>
            <w:tcBorders>
              <w:top w:val="single" w:color="auto" w:sz="4" w:space="0"/>
              <w:left w:val="nil"/>
              <w:bottom w:val="single" w:color="auto" w:sz="4" w:space="0"/>
              <w:right w:val="single" w:color="auto" w:sz="4" w:space="0"/>
            </w:tcBorders>
            <w:shd w:val="clear" w:color="auto" w:fill="auto"/>
            <w:vAlign w:val="center"/>
          </w:tcPr>
          <w:p w14:paraId="0279BD41">
            <w:pPr>
              <w:widowControl/>
              <w:jc w:val="center"/>
              <w:rPr>
                <w:rFonts w:ascii="仿宋_GB2312" w:hAnsi="等线" w:eastAsia="仿宋_GB2312" w:cs="宋体"/>
                <w:b/>
                <w:bCs/>
                <w:sz w:val="21"/>
                <w:szCs w:val="21"/>
                <w:lang w:eastAsia="zh-CN" w:bidi="ar-SA"/>
              </w:rPr>
            </w:pPr>
            <w:r>
              <w:rPr>
                <w:rFonts w:hint="eastAsia" w:ascii="仿宋_GB2312" w:hAnsi="等线" w:eastAsia="仿宋_GB2312" w:cs="宋体"/>
                <w:b/>
                <w:bCs/>
                <w:sz w:val="21"/>
                <w:szCs w:val="21"/>
                <w:lang w:eastAsia="zh-CN" w:bidi="ar-SA"/>
              </w:rPr>
              <w:t>期末余额</w:t>
            </w:r>
          </w:p>
        </w:tc>
      </w:tr>
      <w:tr w14:paraId="4D1B4450">
        <w:tblPrEx>
          <w:tblCellMar>
            <w:top w:w="0" w:type="dxa"/>
            <w:left w:w="108" w:type="dxa"/>
            <w:bottom w:w="0" w:type="dxa"/>
            <w:right w:w="108" w:type="dxa"/>
          </w:tblCellMar>
        </w:tblPrEx>
        <w:trPr>
          <w:trHeight w:val="440" w:hRule="atLeast"/>
          <w:jc w:val="center"/>
        </w:trPr>
        <w:tc>
          <w:tcPr>
            <w:tcW w:w="2914" w:type="dxa"/>
            <w:tcBorders>
              <w:top w:val="nil"/>
              <w:left w:val="single" w:color="auto" w:sz="4" w:space="0"/>
              <w:bottom w:val="single" w:color="auto" w:sz="4" w:space="0"/>
              <w:right w:val="single" w:color="auto" w:sz="4" w:space="0"/>
            </w:tcBorders>
            <w:shd w:val="clear" w:color="auto" w:fill="auto"/>
            <w:vAlign w:val="center"/>
          </w:tcPr>
          <w:p w14:paraId="6E408296">
            <w:pPr>
              <w:widowControl/>
              <w:jc w:val="center"/>
              <w:rPr>
                <w:rFonts w:ascii="仿宋_GB2312" w:hAnsi="等线" w:eastAsia="仿宋_GB2312" w:cs="宋体"/>
                <w:sz w:val="21"/>
                <w:szCs w:val="21"/>
                <w:lang w:eastAsia="zh-CN" w:bidi="ar-SA"/>
              </w:rPr>
            </w:pPr>
            <w:r>
              <w:rPr>
                <w:rFonts w:hint="eastAsia" w:ascii="仿宋_GB2312" w:hAnsi="等线" w:eastAsia="仿宋_GB2312" w:cs="宋体"/>
                <w:sz w:val="21"/>
                <w:szCs w:val="21"/>
                <w:lang w:eastAsia="zh-CN" w:bidi="ar-SA"/>
              </w:rPr>
              <w:t>资产总额</w:t>
            </w:r>
          </w:p>
        </w:tc>
        <w:tc>
          <w:tcPr>
            <w:tcW w:w="2895" w:type="dxa"/>
            <w:tcBorders>
              <w:top w:val="nil"/>
              <w:left w:val="nil"/>
              <w:bottom w:val="single" w:color="auto" w:sz="4" w:space="0"/>
              <w:right w:val="single" w:color="auto" w:sz="4" w:space="0"/>
            </w:tcBorders>
            <w:shd w:val="clear" w:color="auto" w:fill="auto"/>
            <w:vAlign w:val="center"/>
          </w:tcPr>
          <w:p w14:paraId="4C37E109">
            <w:pPr>
              <w:widowControl/>
              <w:jc w:val="center"/>
              <w:textAlignment w:val="center"/>
              <w:rPr>
                <w:rFonts w:hint="default" w:ascii="仿宋_GB2312" w:hAnsi="等线" w:eastAsia="仿宋_GB2312" w:cs="宋体"/>
                <w:sz w:val="21"/>
                <w:szCs w:val="21"/>
                <w:lang w:val="en-US" w:eastAsia="zh-CN" w:bidi="ar-SA"/>
              </w:rPr>
            </w:pPr>
            <w:r>
              <w:rPr>
                <w:rFonts w:hint="eastAsia" w:ascii="仿宋_GB2312" w:hAnsi="等线" w:eastAsia="仿宋_GB2312" w:cs="宋体"/>
                <w:sz w:val="21"/>
                <w:szCs w:val="21"/>
                <w:lang w:val="en-US" w:eastAsia="zh-CN" w:bidi="ar-SA"/>
              </w:rPr>
              <w:t>110548</w:t>
            </w:r>
          </w:p>
        </w:tc>
      </w:tr>
      <w:tr w14:paraId="5529D1CB">
        <w:tblPrEx>
          <w:tblCellMar>
            <w:top w:w="0" w:type="dxa"/>
            <w:left w:w="108" w:type="dxa"/>
            <w:bottom w:w="0" w:type="dxa"/>
            <w:right w:w="108" w:type="dxa"/>
          </w:tblCellMar>
        </w:tblPrEx>
        <w:trPr>
          <w:trHeight w:val="440" w:hRule="atLeast"/>
          <w:jc w:val="center"/>
        </w:trPr>
        <w:tc>
          <w:tcPr>
            <w:tcW w:w="2914" w:type="dxa"/>
            <w:tcBorders>
              <w:top w:val="nil"/>
              <w:left w:val="single" w:color="auto" w:sz="4" w:space="0"/>
              <w:bottom w:val="single" w:color="auto" w:sz="4" w:space="0"/>
              <w:right w:val="single" w:color="auto" w:sz="4" w:space="0"/>
            </w:tcBorders>
            <w:shd w:val="clear" w:color="auto" w:fill="auto"/>
            <w:vAlign w:val="center"/>
          </w:tcPr>
          <w:p w14:paraId="1ED347F5">
            <w:pPr>
              <w:widowControl/>
              <w:jc w:val="center"/>
              <w:rPr>
                <w:rFonts w:ascii="仿宋_GB2312" w:hAnsi="等线" w:eastAsia="仿宋_GB2312" w:cs="宋体"/>
                <w:sz w:val="21"/>
                <w:szCs w:val="21"/>
                <w:lang w:eastAsia="zh-CN" w:bidi="ar-SA"/>
              </w:rPr>
            </w:pPr>
            <w:r>
              <w:rPr>
                <w:rFonts w:hint="eastAsia" w:ascii="仿宋_GB2312" w:hAnsi="等线" w:eastAsia="仿宋_GB2312" w:cs="宋体"/>
                <w:sz w:val="21"/>
                <w:szCs w:val="21"/>
                <w:lang w:eastAsia="zh-CN" w:bidi="ar-SA"/>
              </w:rPr>
              <w:t>负债总额</w:t>
            </w:r>
          </w:p>
        </w:tc>
        <w:tc>
          <w:tcPr>
            <w:tcW w:w="2895" w:type="dxa"/>
            <w:tcBorders>
              <w:top w:val="nil"/>
              <w:left w:val="nil"/>
              <w:bottom w:val="single" w:color="auto" w:sz="4" w:space="0"/>
              <w:right w:val="single" w:color="auto" w:sz="4" w:space="0"/>
            </w:tcBorders>
            <w:shd w:val="clear" w:color="auto" w:fill="auto"/>
            <w:vAlign w:val="center"/>
          </w:tcPr>
          <w:p w14:paraId="0C08DDDD">
            <w:pPr>
              <w:widowControl/>
              <w:jc w:val="center"/>
              <w:textAlignment w:val="center"/>
              <w:rPr>
                <w:rFonts w:hint="default" w:ascii="仿宋_GB2312" w:hAnsi="等线" w:eastAsia="仿宋_GB2312" w:cs="宋体"/>
                <w:sz w:val="21"/>
                <w:szCs w:val="21"/>
                <w:lang w:val="en-US" w:eastAsia="zh-CN" w:bidi="ar-SA"/>
              </w:rPr>
            </w:pPr>
            <w:r>
              <w:rPr>
                <w:rFonts w:hint="eastAsia" w:ascii="仿宋_GB2312" w:hAnsi="等线" w:eastAsia="仿宋_GB2312" w:cs="宋体"/>
                <w:sz w:val="21"/>
                <w:szCs w:val="21"/>
                <w:lang w:val="en-US" w:eastAsia="zh-CN" w:bidi="ar-SA"/>
              </w:rPr>
              <w:t>101065</w:t>
            </w:r>
          </w:p>
        </w:tc>
      </w:tr>
      <w:tr w14:paraId="398DE92D">
        <w:tblPrEx>
          <w:tblCellMar>
            <w:top w:w="0" w:type="dxa"/>
            <w:left w:w="108" w:type="dxa"/>
            <w:bottom w:w="0" w:type="dxa"/>
            <w:right w:w="108" w:type="dxa"/>
          </w:tblCellMar>
        </w:tblPrEx>
        <w:trPr>
          <w:trHeight w:val="440" w:hRule="atLeast"/>
          <w:jc w:val="center"/>
        </w:trPr>
        <w:tc>
          <w:tcPr>
            <w:tcW w:w="2914" w:type="dxa"/>
            <w:tcBorders>
              <w:top w:val="nil"/>
              <w:left w:val="single" w:color="auto" w:sz="4" w:space="0"/>
              <w:bottom w:val="single" w:color="auto" w:sz="4" w:space="0"/>
              <w:right w:val="single" w:color="auto" w:sz="4" w:space="0"/>
            </w:tcBorders>
            <w:shd w:val="clear" w:color="auto" w:fill="auto"/>
            <w:vAlign w:val="center"/>
          </w:tcPr>
          <w:p w14:paraId="77AE5DAF">
            <w:pPr>
              <w:widowControl/>
              <w:jc w:val="center"/>
              <w:rPr>
                <w:rFonts w:ascii="仿宋_GB2312" w:hAnsi="等线" w:eastAsia="仿宋_GB2312" w:cs="宋体"/>
                <w:sz w:val="21"/>
                <w:szCs w:val="21"/>
                <w:lang w:eastAsia="zh-CN" w:bidi="ar-SA"/>
              </w:rPr>
            </w:pPr>
            <w:r>
              <w:rPr>
                <w:rFonts w:hint="eastAsia" w:ascii="仿宋_GB2312" w:hAnsi="等线" w:eastAsia="仿宋_GB2312" w:cs="宋体"/>
                <w:sz w:val="21"/>
                <w:szCs w:val="21"/>
                <w:lang w:eastAsia="zh-CN" w:bidi="ar-SA"/>
              </w:rPr>
              <w:t>所有者权益总额</w:t>
            </w:r>
          </w:p>
        </w:tc>
        <w:tc>
          <w:tcPr>
            <w:tcW w:w="2895" w:type="dxa"/>
            <w:tcBorders>
              <w:top w:val="nil"/>
              <w:left w:val="nil"/>
              <w:bottom w:val="single" w:color="auto" w:sz="4" w:space="0"/>
              <w:right w:val="single" w:color="auto" w:sz="4" w:space="0"/>
            </w:tcBorders>
            <w:shd w:val="clear" w:color="auto" w:fill="auto"/>
            <w:vAlign w:val="center"/>
          </w:tcPr>
          <w:p w14:paraId="39F4B771">
            <w:pPr>
              <w:widowControl/>
              <w:jc w:val="center"/>
              <w:textAlignment w:val="center"/>
              <w:rPr>
                <w:rFonts w:hint="default" w:ascii="仿宋_GB2312" w:hAnsi="等线" w:eastAsia="仿宋_GB2312" w:cs="宋体"/>
                <w:sz w:val="21"/>
                <w:szCs w:val="21"/>
                <w:lang w:val="en-US" w:eastAsia="zh-CN" w:bidi="ar-SA"/>
              </w:rPr>
            </w:pPr>
            <w:r>
              <w:rPr>
                <w:rFonts w:hint="eastAsia" w:ascii="仿宋_GB2312" w:hAnsi="等线" w:eastAsia="仿宋_GB2312" w:cs="宋体"/>
                <w:sz w:val="21"/>
                <w:szCs w:val="21"/>
                <w:lang w:val="en-US" w:eastAsia="zh-CN" w:bidi="ar-SA"/>
              </w:rPr>
              <w:t>9484</w:t>
            </w:r>
          </w:p>
        </w:tc>
      </w:tr>
    </w:tbl>
    <w:p w14:paraId="3D2C5A8A">
      <w:pPr>
        <w:autoSpaceDE w:val="0"/>
        <w:autoSpaceDN w:val="0"/>
        <w:adjustRightInd w:val="0"/>
        <w:snapToGrid w:val="0"/>
        <w:spacing w:line="540" w:lineRule="exact"/>
        <w:ind w:right="14" w:rightChars="6" w:firstLine="640" w:firstLineChars="200"/>
        <w:rPr>
          <w:rFonts w:hint="eastAsia" w:ascii="黑体" w:hAnsi="黑体" w:eastAsia="黑体" w:cs="黑体"/>
          <w:sz w:val="32"/>
          <w:szCs w:val="32"/>
          <w:lang w:eastAsia="zh-CN"/>
        </w:rPr>
      </w:pPr>
    </w:p>
    <w:p w14:paraId="38C05276">
      <w:pPr>
        <w:autoSpaceDE w:val="0"/>
        <w:autoSpaceDN w:val="0"/>
        <w:adjustRightInd w:val="0"/>
        <w:snapToGrid w:val="0"/>
        <w:spacing w:line="540" w:lineRule="exact"/>
        <w:ind w:right="14" w:rightChars="6"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三、董事会报告摘要</w:t>
      </w:r>
    </w:p>
    <w:p w14:paraId="64A74E8A">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2024年度，公司在复杂的市场环境和行业形势下，积极开展各项工作。在经营业绩方面，营业收入完成5046万元，较2023年减少2483万元，比年度预算7305万元减少2259万元，完成率为69.08%。营业成本全年支出60</w:t>
      </w:r>
      <w:bookmarkStart w:id="3" w:name="_GoBack"/>
      <w:bookmarkEnd w:id="3"/>
      <w:r>
        <w:rPr>
          <w:rFonts w:hint="eastAsia" w:ascii="仿宋_GB2312" w:hAnsi="仿宋_GB2312" w:eastAsia="仿宋_GB2312" w:cs="仿宋_GB2312"/>
          <w:sz w:val="32"/>
          <w:szCs w:val="32"/>
          <w:highlight w:val="none"/>
          <w:lang w:val="en-US" w:eastAsia="zh-CN"/>
        </w:rPr>
        <w:t>93万元，较2023年减少997万元，比年度预算7163万元减少1070万元。利润总额为-3805万元，较2023年增亏1128万元，较年度预算-2971万元增亏834万元，完成年度预算的71.93%。</w:t>
      </w:r>
    </w:p>
    <w:p w14:paraId="4A4C507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（一）监督运输经营管理工作开展</w:t>
      </w:r>
    </w:p>
    <w:p w14:paraId="492FECEE">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董事会密切关注公司运输经营状况，针对东平线运量自2021年以来逐年下滑的趋势，且2025年预计货运通过2000列左右这一情况，监督管理层积极应对。运量下滑主要原因包括疫情后宏观经济放缓、环保政策加强及钢铁行业需求下降导致相关原材料运量下滑，莱钢集团划归宝武集团管理后产能减少及调整运量分流等。董事会督促管理层多次与相关企业沟通协调，研究货运增量措施，力求增运减亏。</w:t>
      </w:r>
    </w:p>
    <w:p w14:paraId="5F50967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同时，监督管理层做好国铁货车占用费的清算工作，确保与相关车务段对接顺畅，完成2023年第四季度和2024年的费用清算。此外，关注涉铁工程费用收取工作，对检查发现的1处燃气管道非法占地，在协调落实整改后，成功收取补缴占地费用13.29万元。</w:t>
      </w:r>
    </w:p>
    <w:p w14:paraId="10E1497B">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（二）督促落实委托运输监管职责</w:t>
      </w:r>
    </w:p>
    <w:p w14:paraId="4AADB493">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董事会督促管理层贯彻落实山铁公司“1+4+N”安全管理文件要求，全面推进安全风险管控和安全隐患排查工作。重点监督以高路基、深路堑、桥涵限高防护架、公铁并行地段防护栏为重点的检查计划执行情况，确保现场巡查到位，对发现的问题及时向设备管理单位反馈并督促整改。</w:t>
      </w:r>
    </w:p>
    <w:p w14:paraId="13837B0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汛期安全生产管理方面，监督管理层制定防洪预案，落实防洪值班应急制度和相关要求，确保信息畅通。同时，按照省交通厅要求，开展汛期铁路跨河桥梁安全隐患排查整治工作，完善相关统计表，联系受托管理单位落实问题整改，保障汛期安全。</w:t>
      </w:r>
    </w:p>
    <w:p w14:paraId="7166504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针对检查发现的国储燃气管道非法穿越东平铁路K47+800的情况，董事会督促管理层督促国储管道燃气公司按期整改，目前已签订《承诺书》及《履约保证金协议》并缴纳保证金，且于12月16日前完成安全评估。</w:t>
      </w:r>
    </w:p>
    <w:p w14:paraId="155EB06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另外，监督管理层坚持开展专业技术咨询，委托山东地方铁路学会每季度对东平铁路作运输、安全技术诊断检查，对诊断报告中提出的问题进行专题分析研判，纳入隐患库、风险库，督促设备受托管理单位落实整改。</w:t>
      </w:r>
    </w:p>
    <w:p w14:paraId="7AF44280">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（三）推动规范企业管理工作</w:t>
      </w:r>
    </w:p>
    <w:p w14:paraId="37D254C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董事会推动管理层抓好大修、技改项目落实。对于济南局提出的大修技改计划，监督管理层组织进行现场调查审核，确定投资计划并督促实施。2023年技改大修项目共计19项，全部完成现场验收，已结算13项，正在办理结算手续6项；2024年技改大修项目共计14项，完成现场验收11项，已结算4项，正在办理结算手续7项，正在实施3项结转至2025年计划继续实施。且每个通过验收的项目，均委托第三方审价后办理结算手续，无超投资预算项目。</w:t>
      </w:r>
    </w:p>
    <w:p w14:paraId="19EEAF4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推动完成公司股权变更登记工作，按照“一省一公司”方案要求，督促管理层组织专班专人多次与行政审批部门联系沟通，克服当地工商管理部门要求缴纳资产变更税费、股东方法人认证等困难，于3月份完成公司的股权变更登记，同步完成公司法人和公司董事、监事等高管的变更备案。</w:t>
      </w:r>
    </w:p>
    <w:p w14:paraId="634EC549">
      <w:pPr>
        <w:spacing w:line="560" w:lineRule="exact"/>
        <w:ind w:firstLine="640" w:firstLineChars="200"/>
        <w:jc w:val="both"/>
        <w:rPr>
          <w:rFonts w:ascii="仿宋_GB2312" w:hAnsi="仿宋_GB2312" w:eastAsia="仿宋_GB2312" w:cs="仿宋_GB2312"/>
          <w:bCs/>
          <w:sz w:val="32"/>
          <w:szCs w:val="32"/>
          <w:lang w:eastAsia="zh-CN"/>
        </w:rPr>
      </w:pPr>
      <w:r>
        <w:rPr>
          <w:rFonts w:hint="eastAsia" w:ascii="仿宋_GB2312" w:hAnsi="仿宋_GB2312" w:eastAsia="仿宋_GB2312" w:cs="仿宋_GB2312"/>
          <w:sz w:val="32"/>
          <w:szCs w:val="32"/>
          <w:lang w:val="en-US" w:eastAsia="zh-CN"/>
        </w:rPr>
        <w:t>同时，推进工程档案整理工作，督促管理层安排专人掌握进度，协调推进，对工作推进不力的单位，及时给对方集团公司发函，督促落实人员、计划，按时间节点推进，目前已整理完成的档案正在陆续交入档案馆。</w:t>
      </w:r>
    </w:p>
    <w:p w14:paraId="41EC1BBC">
      <w:pPr>
        <w:autoSpaceDE w:val="0"/>
        <w:autoSpaceDN w:val="0"/>
        <w:adjustRightInd w:val="0"/>
        <w:snapToGrid w:val="0"/>
        <w:spacing w:line="540" w:lineRule="exact"/>
        <w:ind w:right="14" w:rightChars="6" w:firstLine="640" w:firstLineChars="200"/>
        <w:rPr>
          <w:rFonts w:ascii="仿宋_GB2312" w:hAnsi="宋体" w:eastAsia="黑体"/>
          <w:color w:val="0000FF"/>
          <w:sz w:val="32"/>
          <w:szCs w:val="32"/>
          <w:lang w:eastAsia="zh-CN"/>
        </w:rPr>
      </w:pPr>
      <w:r>
        <w:rPr>
          <w:rFonts w:hint="eastAsia" w:ascii="黑体" w:hAnsi="黑体" w:eastAsia="黑体" w:cs="黑体"/>
          <w:sz w:val="32"/>
          <w:szCs w:val="32"/>
          <w:lang w:eastAsia="zh-CN"/>
        </w:rPr>
        <w:t>四、年度审计报告摘要</w:t>
      </w:r>
    </w:p>
    <w:p w14:paraId="6864E10E">
      <w:pPr>
        <w:widowControl/>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bidi="ar"/>
        </w:rPr>
        <w:t>我公司202</w:t>
      </w: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eastAsia="zh-CN" w:bidi="ar"/>
        </w:rPr>
        <w:t xml:space="preserve">年度财务数据经天职国际会计师事务所（特殊普通合伙）审计，出具无保留意见审计报告，审计报告摘要如下： </w:t>
      </w:r>
    </w:p>
    <w:p w14:paraId="741B0BB8">
      <w:pPr>
        <w:widowControl/>
        <w:spacing w:line="580" w:lineRule="exact"/>
        <w:ind w:firstLine="640" w:firstLineChars="20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bidi="ar"/>
        </w:rPr>
        <w:t xml:space="preserve">（一）审计意见 </w:t>
      </w:r>
    </w:p>
    <w:p w14:paraId="0D7299FB">
      <w:pPr>
        <w:widowControl/>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bidi="ar"/>
        </w:rPr>
        <w:t>我们审计了东平铁路有限责任公司财务报表，包括202</w:t>
      </w: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eastAsia="zh-CN" w:bidi="ar"/>
        </w:rPr>
        <w:t>年12月31日的资产负债表，202</w:t>
      </w: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eastAsia="zh-CN" w:bidi="ar"/>
        </w:rPr>
        <w:t xml:space="preserve">年度的利润表、现金流量表、所有者权益变动表以及相关财务报表附注。 </w:t>
      </w:r>
    </w:p>
    <w:p w14:paraId="15B36D7F">
      <w:pPr>
        <w:widowControl/>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bidi="ar"/>
        </w:rPr>
        <w:t>我们认为，后附的财务报表在所有重大方面按照企业会计准则的规定编制，公允反映了东平公司202</w:t>
      </w: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eastAsia="zh-CN" w:bidi="ar"/>
        </w:rPr>
        <w:t>年12月31日的财务状况以及202</w:t>
      </w: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eastAsia="zh-CN" w:bidi="ar"/>
        </w:rPr>
        <w:t xml:space="preserve">年度的经营成果和现金流量。 </w:t>
      </w:r>
    </w:p>
    <w:p w14:paraId="6D3A3C81">
      <w:pPr>
        <w:widowControl/>
        <w:spacing w:line="580" w:lineRule="exact"/>
        <w:ind w:firstLine="640" w:firstLineChars="20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bidi="ar"/>
        </w:rPr>
        <w:t xml:space="preserve">（二）形成审计意见的基础 </w:t>
      </w:r>
    </w:p>
    <w:p w14:paraId="43ACA786">
      <w:pPr>
        <w:widowControl/>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bidi="ar"/>
        </w:rPr>
        <w:t>我们按照中国注册会计师审计准则的规定执行了审计工作。审计报告的“注册会计师对财务报表审计的责任”部分进一步阐述了我们在这些准则下的责任。按照中国注册会计师职业道德守则，我们独立于东平公司，并履行了职业道德方面的其他责任。我们相信，我们获取的审计证据是充分、适当的，为发表审计意见提供了基础。</w:t>
      </w:r>
    </w:p>
    <w:p w14:paraId="41CE0D23">
      <w:pPr>
        <w:autoSpaceDE w:val="0"/>
        <w:autoSpaceDN w:val="0"/>
        <w:adjustRightInd w:val="0"/>
        <w:snapToGrid w:val="0"/>
        <w:spacing w:line="600" w:lineRule="exact"/>
        <w:ind w:right="14" w:rightChars="6" w:firstLine="640" w:firstLineChars="200"/>
        <w:rPr>
          <w:rFonts w:ascii="黑体" w:hAnsi="黑体" w:eastAsia="黑体"/>
          <w:sz w:val="32"/>
          <w:szCs w:val="32"/>
          <w:lang w:eastAsia="zh-CN"/>
        </w:rPr>
      </w:pPr>
      <w:r>
        <w:rPr>
          <w:rFonts w:hint="eastAsia" w:ascii="黑体" w:hAnsi="黑体" w:eastAsia="黑体"/>
          <w:sz w:val="32"/>
          <w:szCs w:val="32"/>
          <w:lang w:eastAsia="zh-CN"/>
        </w:rPr>
        <w:t>五</w:t>
      </w:r>
      <w:r>
        <w:rPr>
          <w:rFonts w:ascii="黑体" w:hAnsi="黑体" w:eastAsia="黑体"/>
          <w:sz w:val="32"/>
          <w:szCs w:val="32"/>
          <w:lang w:eastAsia="zh-CN"/>
        </w:rPr>
        <w:t xml:space="preserve">、“三重一大”有关事项 </w:t>
      </w:r>
    </w:p>
    <w:p w14:paraId="7CF465D1">
      <w:pPr>
        <w:autoSpaceDE w:val="0"/>
        <w:autoSpaceDN w:val="0"/>
        <w:adjustRightInd w:val="0"/>
        <w:snapToGrid w:val="0"/>
        <w:spacing w:line="600" w:lineRule="exact"/>
        <w:ind w:right="14" w:rightChars="6" w:firstLine="640" w:firstLineChars="200"/>
        <w:rPr>
          <w:rFonts w:ascii="楷体" w:hAnsi="楷体" w:eastAsia="楷体"/>
          <w:sz w:val="32"/>
          <w:szCs w:val="32"/>
          <w:lang w:eastAsia="zh-CN"/>
        </w:rPr>
      </w:pPr>
      <w:r>
        <w:rPr>
          <w:rFonts w:ascii="楷体" w:hAnsi="楷体" w:eastAsia="楷体"/>
          <w:sz w:val="32"/>
          <w:szCs w:val="32"/>
          <w:lang w:eastAsia="zh-CN"/>
        </w:rPr>
        <w:t xml:space="preserve">（一）有关重大决策 </w:t>
      </w:r>
    </w:p>
    <w:p w14:paraId="146F040B">
      <w:pPr>
        <w:autoSpaceDE w:val="0"/>
        <w:autoSpaceDN w:val="0"/>
        <w:adjustRightInd w:val="0"/>
        <w:snapToGrid w:val="0"/>
        <w:spacing w:line="600" w:lineRule="exact"/>
        <w:ind w:right="14" w:rightChars="6" w:firstLine="640" w:firstLineChars="200"/>
        <w:rPr>
          <w:rFonts w:ascii="楷体" w:hAnsi="楷体" w:eastAsia="楷体"/>
          <w:sz w:val="32"/>
          <w:szCs w:val="32"/>
          <w:lang w:eastAsia="zh-CN"/>
        </w:rPr>
      </w:pPr>
      <w:r>
        <w:rPr>
          <w:rFonts w:hint="eastAsia" w:ascii="仿宋_GB2312" w:hAnsi="仿宋_GB2312" w:eastAsia="仿宋_GB2312" w:cs="仿宋_GB2312"/>
          <w:sz w:val="32"/>
          <w:szCs w:val="32"/>
          <w:lang w:eastAsia="zh-CN"/>
        </w:rPr>
        <w:t>组织召开了东平铁路有限责任公司202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年股东会、董事会、监事会。</w:t>
      </w:r>
      <w:r>
        <w:rPr>
          <w:rFonts w:hint="eastAsia" w:ascii="仿宋_GB2312" w:hAnsi="仿宋_GB2312" w:eastAsia="仿宋_GB2312" w:cs="仿宋_GB2312"/>
          <w:bCs/>
          <w:sz w:val="32"/>
          <w:szCs w:val="32"/>
          <w:lang w:eastAsia="zh-CN"/>
        </w:rPr>
        <w:t>根据工作实际，202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lang w:eastAsia="zh-CN"/>
        </w:rPr>
        <w:t>年组织召开2次临时股东会、董事会，重大事项股东会决策，确保相关经营工作及时推进。</w:t>
      </w:r>
    </w:p>
    <w:p w14:paraId="6ADFB4CB">
      <w:pPr>
        <w:autoSpaceDE w:val="0"/>
        <w:autoSpaceDN w:val="0"/>
        <w:adjustRightInd w:val="0"/>
        <w:snapToGrid w:val="0"/>
        <w:spacing w:line="600" w:lineRule="exact"/>
        <w:ind w:right="14" w:rightChars="6" w:firstLine="640" w:firstLineChars="200"/>
        <w:rPr>
          <w:rFonts w:ascii="楷体" w:hAnsi="楷体" w:eastAsia="楷体"/>
          <w:sz w:val="32"/>
          <w:szCs w:val="32"/>
          <w:lang w:eastAsia="zh-CN"/>
        </w:rPr>
      </w:pPr>
      <w:r>
        <w:rPr>
          <w:rFonts w:ascii="楷体" w:hAnsi="楷体" w:eastAsia="楷体"/>
          <w:sz w:val="32"/>
          <w:szCs w:val="32"/>
          <w:lang w:eastAsia="zh-CN"/>
        </w:rPr>
        <w:t xml:space="preserve">（二）有关重大人事任免 </w:t>
      </w:r>
    </w:p>
    <w:p w14:paraId="4B6F96E6">
      <w:pPr>
        <w:autoSpaceDE w:val="0"/>
        <w:autoSpaceDN w:val="0"/>
        <w:adjustRightInd w:val="0"/>
        <w:snapToGrid w:val="0"/>
        <w:spacing w:line="600" w:lineRule="exact"/>
        <w:ind w:right="14" w:rightChars="6" w:firstLine="640" w:firstLineChars="200"/>
        <w:rPr>
          <w:rFonts w:ascii="楷体" w:hAnsi="楷体" w:eastAsia="楷体"/>
          <w:sz w:val="32"/>
          <w:szCs w:val="32"/>
          <w:lang w:eastAsia="zh-CN"/>
        </w:rPr>
      </w:pPr>
      <w:r>
        <w:rPr>
          <w:rFonts w:ascii="楷体" w:hAnsi="楷体" w:eastAsia="楷体"/>
          <w:sz w:val="32"/>
          <w:szCs w:val="32"/>
          <w:lang w:eastAsia="zh-CN"/>
        </w:rPr>
        <w:t xml:space="preserve">无。 </w:t>
      </w:r>
    </w:p>
    <w:p w14:paraId="5CFA5CE5">
      <w:pPr>
        <w:autoSpaceDE w:val="0"/>
        <w:autoSpaceDN w:val="0"/>
        <w:adjustRightInd w:val="0"/>
        <w:snapToGrid w:val="0"/>
        <w:spacing w:line="600" w:lineRule="exact"/>
        <w:ind w:right="14" w:rightChars="6" w:firstLine="640" w:firstLineChars="200"/>
        <w:rPr>
          <w:rFonts w:ascii="楷体" w:hAnsi="楷体" w:eastAsia="楷体"/>
          <w:sz w:val="32"/>
          <w:szCs w:val="32"/>
          <w:lang w:eastAsia="zh-CN"/>
        </w:rPr>
      </w:pPr>
      <w:r>
        <w:rPr>
          <w:rFonts w:ascii="楷体" w:hAnsi="楷体" w:eastAsia="楷体"/>
          <w:sz w:val="32"/>
          <w:szCs w:val="32"/>
          <w:lang w:eastAsia="zh-CN"/>
        </w:rPr>
        <w:t>（三）有关重大项目投资及境外投资情况</w:t>
      </w:r>
    </w:p>
    <w:p w14:paraId="11AEF82D">
      <w:pPr>
        <w:spacing w:line="580" w:lineRule="exact"/>
        <w:ind w:firstLine="600"/>
        <w:jc w:val="both"/>
        <w:rPr>
          <w:rFonts w:hAnsi="宋体"/>
          <w:sz w:val="32"/>
          <w:szCs w:val="32"/>
          <w:lang w:eastAsia="zh-CN"/>
        </w:rPr>
      </w:pPr>
      <w:r>
        <w:rPr>
          <w:rFonts w:hint="eastAsia" w:ascii="仿宋_GB2312" w:hAnsi="仿宋_GB2312" w:eastAsia="仿宋_GB2312" w:cs="仿宋_GB2312"/>
          <w:sz w:val="32"/>
          <w:szCs w:val="32"/>
          <w:lang w:eastAsia="zh-CN"/>
        </w:rPr>
        <w:t>根据委托运输管理受托方济南局集团有限公司提报有关东平铁路有限责任公司202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年运输设施设备更新改造计划建议，结合公司实际情况，202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年度公司安排运输设施设备更新改造项目1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项，估算投资金额总计</w:t>
      </w:r>
      <w:r>
        <w:rPr>
          <w:rFonts w:hint="eastAsia" w:ascii="仿宋_GB2312" w:hAnsi="宋体" w:eastAsia="仿宋_GB2312"/>
          <w:sz w:val="32"/>
          <w:szCs w:val="32"/>
          <w:lang w:val="en-US" w:eastAsia="zh-CN"/>
        </w:rPr>
        <w:t>969.5</w:t>
      </w:r>
      <w:r>
        <w:rPr>
          <w:rFonts w:hint="eastAsia" w:ascii="仿宋_GB2312" w:hAnsi="仿宋_GB2312" w:eastAsia="仿宋_GB2312" w:cs="仿宋_GB2312"/>
          <w:sz w:val="32"/>
          <w:szCs w:val="32"/>
          <w:lang w:eastAsia="zh-CN"/>
        </w:rPr>
        <w:t>万元。</w:t>
      </w:r>
    </w:p>
    <w:p w14:paraId="68449C02">
      <w:pPr>
        <w:autoSpaceDE w:val="0"/>
        <w:autoSpaceDN w:val="0"/>
        <w:adjustRightInd w:val="0"/>
        <w:snapToGrid w:val="0"/>
        <w:spacing w:line="600" w:lineRule="exact"/>
        <w:ind w:right="14" w:rightChars="6" w:firstLine="640" w:firstLineChars="200"/>
        <w:rPr>
          <w:rFonts w:ascii="楷体" w:hAnsi="楷体" w:eastAsia="楷体"/>
          <w:sz w:val="32"/>
          <w:szCs w:val="32"/>
          <w:lang w:eastAsia="zh-CN"/>
        </w:rPr>
      </w:pPr>
      <w:r>
        <w:rPr>
          <w:rFonts w:ascii="楷体" w:hAnsi="楷体" w:eastAsia="楷体"/>
          <w:sz w:val="32"/>
          <w:szCs w:val="32"/>
          <w:lang w:eastAsia="zh-CN"/>
        </w:rPr>
        <w:t xml:space="preserve">（四）大额资金的调动及使用情况 </w:t>
      </w:r>
    </w:p>
    <w:p w14:paraId="77304658">
      <w:pPr>
        <w:autoSpaceDE w:val="0"/>
        <w:autoSpaceDN w:val="0"/>
        <w:adjustRightInd w:val="0"/>
        <w:snapToGrid w:val="0"/>
        <w:spacing w:line="600" w:lineRule="exact"/>
        <w:ind w:right="14" w:rightChars="6" w:firstLine="640" w:firstLineChars="200"/>
        <w:jc w:val="both"/>
        <w:rPr>
          <w:rFonts w:ascii="楷体" w:hAnsi="楷体" w:eastAsia="楷体"/>
          <w:sz w:val="32"/>
          <w:szCs w:val="32"/>
          <w:lang w:eastAsia="zh-CN"/>
        </w:rPr>
      </w:pPr>
      <w:r>
        <w:rPr>
          <w:rFonts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lang w:eastAsia="zh-CN"/>
        </w:rPr>
        <w:t>年大额资金的调动和使用均符合国资监管及公司相关制度规定。</w:t>
      </w:r>
      <w:r>
        <w:rPr>
          <w:rFonts w:ascii="楷体" w:hAnsi="楷体" w:eastAsia="楷体"/>
          <w:sz w:val="32"/>
          <w:szCs w:val="32"/>
          <w:lang w:eastAsia="zh-CN"/>
        </w:rPr>
        <w:t xml:space="preserve"> </w:t>
      </w:r>
    </w:p>
    <w:p w14:paraId="48532FD5">
      <w:pPr>
        <w:autoSpaceDE w:val="0"/>
        <w:autoSpaceDN w:val="0"/>
        <w:adjustRightInd w:val="0"/>
        <w:snapToGrid w:val="0"/>
        <w:spacing w:line="600" w:lineRule="exact"/>
        <w:ind w:right="14" w:rightChars="6" w:firstLine="640" w:firstLineChars="200"/>
        <w:rPr>
          <w:rFonts w:ascii="楷体" w:hAnsi="楷体" w:eastAsia="楷体"/>
          <w:sz w:val="32"/>
          <w:szCs w:val="32"/>
          <w:lang w:eastAsia="zh-CN"/>
        </w:rPr>
      </w:pPr>
      <w:r>
        <w:rPr>
          <w:rFonts w:ascii="楷体" w:hAnsi="楷体" w:eastAsia="楷体"/>
          <w:sz w:val="32"/>
          <w:szCs w:val="32"/>
          <w:lang w:eastAsia="zh-CN"/>
        </w:rPr>
        <w:t xml:space="preserve">（五）国有资产保值增值情况 </w:t>
      </w:r>
    </w:p>
    <w:p w14:paraId="7ECCF0B4">
      <w:pPr>
        <w:autoSpaceDE w:val="0"/>
        <w:autoSpaceDN w:val="0"/>
        <w:adjustRightInd w:val="0"/>
        <w:snapToGrid w:val="0"/>
        <w:spacing w:line="600" w:lineRule="exact"/>
        <w:ind w:right="14" w:rightChars="6" w:firstLine="640" w:firstLineChars="200"/>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t>持续加强国有资产经营管理，提质增效，实现国有资产保值增值。</w:t>
      </w:r>
    </w:p>
    <w:p w14:paraId="7604C499">
      <w:pPr>
        <w:autoSpaceDE w:val="0"/>
        <w:autoSpaceDN w:val="0"/>
        <w:adjustRightInd w:val="0"/>
        <w:snapToGrid w:val="0"/>
        <w:spacing w:line="600" w:lineRule="exact"/>
        <w:ind w:right="14" w:rightChars="6" w:firstLine="640" w:firstLineChars="200"/>
        <w:rPr>
          <w:rFonts w:ascii="楷体" w:hAnsi="楷体" w:eastAsia="楷体"/>
          <w:sz w:val="32"/>
          <w:szCs w:val="32"/>
          <w:lang w:eastAsia="zh-CN"/>
        </w:rPr>
      </w:pPr>
      <w:r>
        <w:rPr>
          <w:rFonts w:ascii="楷体" w:hAnsi="楷体" w:eastAsia="楷体"/>
          <w:sz w:val="32"/>
          <w:szCs w:val="32"/>
          <w:lang w:eastAsia="zh-CN"/>
        </w:rPr>
        <w:t xml:space="preserve">（六）企业重大改制重组 </w:t>
      </w:r>
    </w:p>
    <w:p w14:paraId="3704D998">
      <w:pPr>
        <w:autoSpaceDE w:val="0"/>
        <w:autoSpaceDN w:val="0"/>
        <w:adjustRightInd w:val="0"/>
        <w:snapToGrid w:val="0"/>
        <w:spacing w:line="600" w:lineRule="exact"/>
        <w:ind w:right="14" w:rightChars="6" w:firstLine="640" w:firstLineChars="200"/>
        <w:rPr>
          <w:rFonts w:ascii="楷体" w:hAnsi="楷体" w:eastAsia="楷体"/>
          <w:sz w:val="32"/>
          <w:szCs w:val="32"/>
          <w:lang w:eastAsia="zh-CN"/>
        </w:rPr>
      </w:pPr>
      <w:r>
        <w:rPr>
          <w:rFonts w:ascii="仿宋_GB2312" w:hAnsi="仿宋_GB2312" w:eastAsia="仿宋_GB2312" w:cs="仿宋_GB2312"/>
          <w:sz w:val="32"/>
          <w:szCs w:val="32"/>
          <w:lang w:eastAsia="zh-CN"/>
        </w:rPr>
        <w:t>无。</w:t>
      </w:r>
      <w:r>
        <w:rPr>
          <w:rFonts w:ascii="楷体" w:hAnsi="楷体" w:eastAsia="楷体"/>
          <w:sz w:val="32"/>
          <w:szCs w:val="32"/>
          <w:lang w:eastAsia="zh-CN"/>
        </w:rPr>
        <w:t xml:space="preserve"> </w:t>
      </w:r>
    </w:p>
    <w:p w14:paraId="39055727">
      <w:pPr>
        <w:autoSpaceDE w:val="0"/>
        <w:autoSpaceDN w:val="0"/>
        <w:adjustRightInd w:val="0"/>
        <w:snapToGrid w:val="0"/>
        <w:spacing w:line="600" w:lineRule="exact"/>
        <w:ind w:right="14" w:rightChars="6" w:firstLine="640" w:firstLineChars="200"/>
        <w:rPr>
          <w:rFonts w:ascii="楷体" w:hAnsi="楷体" w:eastAsia="楷体"/>
          <w:sz w:val="32"/>
          <w:szCs w:val="32"/>
          <w:lang w:eastAsia="zh-CN"/>
        </w:rPr>
      </w:pPr>
      <w:r>
        <w:rPr>
          <w:rFonts w:ascii="楷体" w:hAnsi="楷体" w:eastAsia="楷体"/>
          <w:sz w:val="32"/>
          <w:szCs w:val="32"/>
          <w:lang w:eastAsia="zh-CN"/>
        </w:rPr>
        <w:t xml:space="preserve">（七）通过产权市场转让企业产权和企业增资等信息 </w:t>
      </w:r>
    </w:p>
    <w:p w14:paraId="3DAD8D07">
      <w:pPr>
        <w:autoSpaceDE w:val="0"/>
        <w:autoSpaceDN w:val="0"/>
        <w:adjustRightInd w:val="0"/>
        <w:snapToGrid w:val="0"/>
        <w:spacing w:line="600" w:lineRule="exact"/>
        <w:ind w:right="14" w:rightChars="6" w:firstLine="640" w:firstLineChars="200"/>
        <w:rPr>
          <w:rFonts w:ascii="楷体" w:hAnsi="楷体" w:eastAsia="楷体"/>
          <w:sz w:val="32"/>
          <w:szCs w:val="32"/>
          <w:lang w:eastAsia="zh-CN"/>
        </w:rPr>
      </w:pPr>
      <w:r>
        <w:rPr>
          <w:rFonts w:ascii="仿宋_GB2312" w:hAnsi="仿宋_GB2312" w:eastAsia="仿宋_GB2312" w:cs="仿宋_GB2312"/>
          <w:sz w:val="32"/>
          <w:szCs w:val="32"/>
          <w:lang w:eastAsia="zh-CN"/>
        </w:rPr>
        <w:t>无。</w:t>
      </w:r>
      <w:r>
        <w:rPr>
          <w:rFonts w:ascii="楷体" w:hAnsi="楷体" w:eastAsia="楷体"/>
          <w:sz w:val="32"/>
          <w:szCs w:val="32"/>
          <w:lang w:eastAsia="zh-CN"/>
        </w:rPr>
        <w:t xml:space="preserve"> </w:t>
      </w:r>
    </w:p>
    <w:p w14:paraId="706E43BD">
      <w:pPr>
        <w:autoSpaceDE w:val="0"/>
        <w:autoSpaceDN w:val="0"/>
        <w:adjustRightInd w:val="0"/>
        <w:snapToGrid w:val="0"/>
        <w:spacing w:line="600" w:lineRule="exact"/>
        <w:ind w:right="14" w:rightChars="6" w:firstLine="640" w:firstLineChars="200"/>
        <w:rPr>
          <w:rFonts w:ascii="楷体" w:hAnsi="楷体" w:eastAsia="楷体"/>
          <w:sz w:val="32"/>
          <w:szCs w:val="32"/>
          <w:lang w:eastAsia="zh-CN"/>
        </w:rPr>
      </w:pPr>
      <w:r>
        <w:rPr>
          <w:rFonts w:ascii="楷体" w:hAnsi="楷体" w:eastAsia="楷体"/>
          <w:sz w:val="32"/>
          <w:szCs w:val="32"/>
          <w:lang w:eastAsia="zh-CN"/>
        </w:rPr>
        <w:t xml:space="preserve">（八）有关部门依法要求公开的监督检查问题整改情况 </w:t>
      </w:r>
    </w:p>
    <w:p w14:paraId="6EE2D4F5">
      <w:pPr>
        <w:autoSpaceDE w:val="0"/>
        <w:autoSpaceDN w:val="0"/>
        <w:adjustRightInd w:val="0"/>
        <w:snapToGrid w:val="0"/>
        <w:spacing w:line="600" w:lineRule="exact"/>
        <w:ind w:right="14" w:rightChars="6" w:firstLine="640" w:firstLineChars="200"/>
        <w:rPr>
          <w:rFonts w:ascii="楷体" w:hAnsi="楷体" w:eastAsia="楷体"/>
          <w:sz w:val="32"/>
          <w:szCs w:val="32"/>
          <w:lang w:eastAsia="zh-CN"/>
        </w:rPr>
      </w:pPr>
      <w:r>
        <w:rPr>
          <w:rFonts w:ascii="仿宋_GB2312" w:hAnsi="仿宋_GB2312" w:eastAsia="仿宋_GB2312" w:cs="仿宋_GB2312"/>
          <w:sz w:val="32"/>
          <w:szCs w:val="32"/>
          <w:lang w:eastAsia="zh-CN"/>
        </w:rPr>
        <w:t>无。</w:t>
      </w:r>
      <w:r>
        <w:rPr>
          <w:rFonts w:ascii="楷体" w:hAnsi="楷体" w:eastAsia="楷体"/>
          <w:sz w:val="32"/>
          <w:szCs w:val="32"/>
          <w:lang w:eastAsia="zh-CN"/>
        </w:rPr>
        <w:t xml:space="preserve"> </w:t>
      </w:r>
    </w:p>
    <w:p w14:paraId="628CEE4F">
      <w:pPr>
        <w:autoSpaceDE w:val="0"/>
        <w:autoSpaceDN w:val="0"/>
        <w:adjustRightInd w:val="0"/>
        <w:snapToGrid w:val="0"/>
        <w:spacing w:line="560" w:lineRule="exact"/>
        <w:ind w:right="14" w:rightChars="6" w:firstLine="640" w:firstLineChars="200"/>
        <w:rPr>
          <w:rFonts w:ascii="楷体" w:hAnsi="楷体" w:eastAsia="楷体"/>
          <w:sz w:val="32"/>
          <w:szCs w:val="32"/>
          <w:lang w:eastAsia="zh-CN"/>
        </w:rPr>
      </w:pPr>
      <w:r>
        <w:rPr>
          <w:rFonts w:ascii="楷体" w:hAnsi="楷体" w:eastAsia="楷体"/>
          <w:sz w:val="32"/>
          <w:szCs w:val="32"/>
          <w:lang w:eastAsia="zh-CN"/>
        </w:rPr>
        <w:t xml:space="preserve">（九）重大突发事件事态发展和应急处置情况 </w:t>
      </w:r>
    </w:p>
    <w:p w14:paraId="29E0AC68">
      <w:pPr>
        <w:autoSpaceDE w:val="0"/>
        <w:autoSpaceDN w:val="0"/>
        <w:adjustRightInd w:val="0"/>
        <w:snapToGrid w:val="0"/>
        <w:spacing w:line="560" w:lineRule="exact"/>
        <w:ind w:right="14" w:rightChars="6" w:firstLine="640" w:firstLineChars="200"/>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t>无。</w:t>
      </w:r>
    </w:p>
    <w:p w14:paraId="1C33D339">
      <w:pPr>
        <w:autoSpaceDE w:val="0"/>
        <w:autoSpaceDN w:val="0"/>
        <w:adjustRightInd w:val="0"/>
        <w:snapToGrid w:val="0"/>
        <w:spacing w:line="560" w:lineRule="exact"/>
        <w:ind w:right="14" w:rightChars="6" w:firstLine="640" w:firstLineChars="200"/>
        <w:rPr>
          <w:rFonts w:ascii="黑体" w:hAnsi="黑体" w:eastAsia="黑体"/>
          <w:sz w:val="32"/>
          <w:szCs w:val="32"/>
          <w:lang w:eastAsia="zh-CN"/>
        </w:rPr>
      </w:pPr>
      <w:r>
        <w:rPr>
          <w:rFonts w:hint="eastAsia" w:ascii="黑体" w:hAnsi="黑体" w:eastAsia="黑体"/>
          <w:sz w:val="32"/>
          <w:szCs w:val="32"/>
          <w:lang w:eastAsia="zh-CN"/>
        </w:rPr>
        <w:t>六</w:t>
      </w:r>
      <w:r>
        <w:rPr>
          <w:rFonts w:ascii="黑体" w:hAnsi="黑体" w:eastAsia="黑体"/>
          <w:sz w:val="32"/>
          <w:szCs w:val="32"/>
          <w:lang w:eastAsia="zh-CN"/>
        </w:rPr>
        <w:t xml:space="preserve">、社会责任的履行 </w:t>
      </w:r>
    </w:p>
    <w:p w14:paraId="35CC9042">
      <w:pPr>
        <w:autoSpaceDE w:val="0"/>
        <w:autoSpaceDN w:val="0"/>
        <w:adjustRightInd w:val="0"/>
        <w:snapToGrid w:val="0"/>
        <w:spacing w:line="560" w:lineRule="exact"/>
        <w:ind w:right="14" w:rightChars="6" w:firstLine="640" w:firstLineChars="200"/>
        <w:rPr>
          <w:rFonts w:ascii="楷体" w:hAnsi="楷体" w:eastAsia="楷体"/>
          <w:sz w:val="32"/>
          <w:szCs w:val="32"/>
          <w:lang w:eastAsia="zh-CN"/>
        </w:rPr>
      </w:pPr>
      <w:r>
        <w:rPr>
          <w:rFonts w:ascii="楷体" w:hAnsi="楷体" w:eastAsia="楷体"/>
          <w:sz w:val="32"/>
          <w:szCs w:val="32"/>
          <w:lang w:eastAsia="zh-CN"/>
        </w:rPr>
        <w:t xml:space="preserve">（一）职工劳动合同的签订、履行等劳动法律法规的遵守和 执行情况 </w:t>
      </w:r>
    </w:p>
    <w:p w14:paraId="5EA7681A">
      <w:pPr>
        <w:autoSpaceDE w:val="0"/>
        <w:autoSpaceDN w:val="0"/>
        <w:adjustRightInd w:val="0"/>
        <w:snapToGrid w:val="0"/>
        <w:spacing w:line="560" w:lineRule="exact"/>
        <w:ind w:right="14" w:rightChars="6" w:firstLine="640" w:firstLineChars="200"/>
        <w:rPr>
          <w:rFonts w:ascii="仿宋_GB2312" w:hAnsi="仿宋" w:eastAsia="仿宋_GB2312" w:cs="仿宋"/>
          <w:sz w:val="32"/>
          <w:szCs w:val="32"/>
          <w:lang w:eastAsia="zh-CN"/>
        </w:rPr>
      </w:pPr>
      <w:r>
        <w:rPr>
          <w:rFonts w:ascii="仿宋_GB2312" w:hAnsi="仿宋" w:eastAsia="仿宋_GB2312" w:cs="仿宋"/>
          <w:sz w:val="32"/>
          <w:szCs w:val="32"/>
          <w:lang w:eastAsia="zh-CN"/>
        </w:rPr>
        <w:t>根据《山东铁路有限公司劳动合同管理办法（试行）》，严格遵守和执行劳动法律法规，切实维护职工的合法权益，构建和谐劳动关系。截至202</w:t>
      </w:r>
      <w:r>
        <w:rPr>
          <w:rFonts w:hint="eastAsia" w:ascii="仿宋_GB2312" w:hAnsi="仿宋" w:eastAsia="仿宋_GB2312" w:cs="仿宋"/>
          <w:sz w:val="32"/>
          <w:szCs w:val="32"/>
          <w:lang w:val="en-US" w:eastAsia="zh-CN"/>
        </w:rPr>
        <w:t>4</w:t>
      </w:r>
      <w:r>
        <w:rPr>
          <w:rFonts w:ascii="仿宋_GB2312" w:hAnsi="仿宋" w:eastAsia="仿宋_GB2312" w:cs="仿宋"/>
          <w:sz w:val="32"/>
          <w:szCs w:val="32"/>
          <w:lang w:eastAsia="zh-CN"/>
        </w:rPr>
        <w:t>年底，职工劳动合同签订率为100%。全年未发生一起劳动合同纠纷事件。</w:t>
      </w:r>
    </w:p>
    <w:p w14:paraId="4786F61D">
      <w:pPr>
        <w:autoSpaceDE w:val="0"/>
        <w:autoSpaceDN w:val="0"/>
        <w:adjustRightInd w:val="0"/>
        <w:snapToGrid w:val="0"/>
        <w:spacing w:line="560" w:lineRule="exact"/>
        <w:ind w:right="14" w:rightChars="6" w:firstLine="640" w:firstLineChars="200"/>
        <w:rPr>
          <w:rFonts w:ascii="楷体" w:hAnsi="楷体" w:eastAsia="楷体"/>
          <w:sz w:val="32"/>
          <w:szCs w:val="32"/>
          <w:lang w:eastAsia="zh-CN"/>
        </w:rPr>
      </w:pPr>
      <w:r>
        <w:rPr>
          <w:rFonts w:ascii="楷体" w:hAnsi="楷体" w:eastAsia="楷体"/>
          <w:sz w:val="32"/>
          <w:szCs w:val="32"/>
          <w:lang w:eastAsia="zh-CN"/>
        </w:rPr>
        <w:t xml:space="preserve">（二）人才引进、职工招聘等情况 </w:t>
      </w:r>
    </w:p>
    <w:p w14:paraId="05FC8D85">
      <w:pPr>
        <w:autoSpaceDE w:val="0"/>
        <w:autoSpaceDN w:val="0"/>
        <w:adjustRightInd w:val="0"/>
        <w:snapToGrid w:val="0"/>
        <w:spacing w:line="560" w:lineRule="exact"/>
        <w:ind w:right="14" w:rightChars="6" w:firstLine="640" w:firstLineChars="200"/>
        <w:rPr>
          <w:rFonts w:ascii="楷体" w:hAnsi="楷体" w:eastAsia="楷体"/>
          <w:sz w:val="32"/>
          <w:szCs w:val="32"/>
          <w:lang w:eastAsia="zh-CN"/>
        </w:rPr>
      </w:pPr>
      <w:r>
        <w:rPr>
          <w:rFonts w:ascii="仿宋_GB2312" w:hAnsi="仿宋" w:eastAsia="仿宋_GB2312" w:cs="仿宋"/>
          <w:sz w:val="32"/>
          <w:szCs w:val="32"/>
          <w:lang w:eastAsia="zh-CN"/>
        </w:rPr>
        <w:t>无。</w:t>
      </w:r>
      <w:r>
        <w:rPr>
          <w:rFonts w:ascii="楷体" w:hAnsi="楷体" w:eastAsia="楷体"/>
          <w:sz w:val="32"/>
          <w:szCs w:val="32"/>
          <w:lang w:eastAsia="zh-CN"/>
        </w:rPr>
        <w:t xml:space="preserve"> </w:t>
      </w:r>
    </w:p>
    <w:p w14:paraId="2FADBFD6">
      <w:pPr>
        <w:autoSpaceDE w:val="0"/>
        <w:autoSpaceDN w:val="0"/>
        <w:adjustRightInd w:val="0"/>
        <w:snapToGrid w:val="0"/>
        <w:spacing w:line="560" w:lineRule="exact"/>
        <w:ind w:right="14" w:rightChars="6" w:firstLine="640" w:firstLineChars="200"/>
        <w:rPr>
          <w:rFonts w:ascii="楷体" w:hAnsi="楷体" w:eastAsia="楷体"/>
          <w:sz w:val="32"/>
          <w:szCs w:val="32"/>
          <w:lang w:eastAsia="zh-CN"/>
        </w:rPr>
      </w:pPr>
      <w:r>
        <w:rPr>
          <w:rFonts w:ascii="楷体" w:hAnsi="楷体" w:eastAsia="楷体"/>
          <w:sz w:val="32"/>
          <w:szCs w:val="32"/>
          <w:lang w:eastAsia="zh-CN"/>
        </w:rPr>
        <w:t xml:space="preserve">（三）职工劳动、安全及卫生保护情况 </w:t>
      </w:r>
    </w:p>
    <w:p w14:paraId="65A63A6A">
      <w:pPr>
        <w:autoSpaceDE w:val="0"/>
        <w:autoSpaceDN w:val="0"/>
        <w:adjustRightInd w:val="0"/>
        <w:snapToGrid w:val="0"/>
        <w:spacing w:line="560" w:lineRule="exact"/>
        <w:ind w:right="14" w:rightChars="6" w:firstLine="640" w:firstLineChars="200"/>
        <w:rPr>
          <w:rFonts w:ascii="仿宋_GB2312" w:hAnsi="仿宋" w:eastAsia="仿宋_GB2312" w:cs="仿宋"/>
          <w:sz w:val="32"/>
          <w:szCs w:val="32"/>
          <w:lang w:eastAsia="zh-CN"/>
        </w:rPr>
      </w:pPr>
      <w:r>
        <w:rPr>
          <w:rFonts w:ascii="仿宋_GB2312" w:hAnsi="仿宋" w:eastAsia="仿宋_GB2312" w:cs="仿宋"/>
          <w:sz w:val="32"/>
          <w:szCs w:val="32"/>
          <w:lang w:eastAsia="zh-CN"/>
        </w:rPr>
        <w:t xml:space="preserve">公司严格按照劳动保护法及相关要求保障职工合法权益。改 善劳动条件，加强相关培训，为职工提供健康安全的工作环境。 </w:t>
      </w:r>
    </w:p>
    <w:p w14:paraId="1250F3E4">
      <w:pPr>
        <w:autoSpaceDE w:val="0"/>
        <w:autoSpaceDN w:val="0"/>
        <w:adjustRightInd w:val="0"/>
        <w:snapToGrid w:val="0"/>
        <w:spacing w:line="560" w:lineRule="exact"/>
        <w:ind w:right="14" w:rightChars="6" w:firstLine="640" w:firstLineChars="200"/>
        <w:rPr>
          <w:rFonts w:ascii="楷体" w:hAnsi="楷体" w:eastAsia="楷体"/>
          <w:sz w:val="32"/>
          <w:szCs w:val="32"/>
          <w:lang w:eastAsia="zh-CN"/>
        </w:rPr>
      </w:pPr>
      <w:r>
        <w:rPr>
          <w:rFonts w:ascii="楷体" w:hAnsi="楷体" w:eastAsia="楷体"/>
          <w:sz w:val="32"/>
          <w:szCs w:val="32"/>
          <w:lang w:eastAsia="zh-CN"/>
        </w:rPr>
        <w:t xml:space="preserve">（四）开展环境治理及保护情况 </w:t>
      </w:r>
    </w:p>
    <w:p w14:paraId="3C0FB18E">
      <w:pPr>
        <w:autoSpaceDE w:val="0"/>
        <w:autoSpaceDN w:val="0"/>
        <w:adjustRightInd w:val="0"/>
        <w:snapToGrid w:val="0"/>
        <w:spacing w:line="560" w:lineRule="exact"/>
        <w:ind w:right="14" w:rightChars="6" w:firstLine="640" w:firstLineChars="200"/>
        <w:rPr>
          <w:rFonts w:ascii="仿宋_GB2312" w:hAnsi="仿宋" w:eastAsia="仿宋_GB2312" w:cs="仿宋"/>
          <w:sz w:val="32"/>
          <w:szCs w:val="32"/>
          <w:lang w:eastAsia="zh-CN"/>
        </w:rPr>
      </w:pPr>
      <w:r>
        <w:rPr>
          <w:rFonts w:ascii="仿宋_GB2312" w:hAnsi="仿宋" w:eastAsia="仿宋_GB2312" w:cs="仿宋"/>
          <w:sz w:val="32"/>
          <w:szCs w:val="32"/>
          <w:lang w:eastAsia="zh-CN"/>
        </w:rPr>
        <w:t xml:space="preserve">公司所有项目全部满足国家相应标准要求，并积极与管辖铁 路沿线地方政府对接处理各项工作。 </w:t>
      </w:r>
    </w:p>
    <w:p w14:paraId="64C7F10A">
      <w:pPr>
        <w:autoSpaceDE w:val="0"/>
        <w:autoSpaceDN w:val="0"/>
        <w:adjustRightInd w:val="0"/>
        <w:snapToGrid w:val="0"/>
        <w:spacing w:line="560" w:lineRule="exact"/>
        <w:ind w:right="14" w:rightChars="6" w:firstLine="640" w:firstLineChars="200"/>
        <w:rPr>
          <w:rFonts w:ascii="楷体" w:hAnsi="楷体" w:eastAsia="楷体"/>
          <w:sz w:val="32"/>
          <w:szCs w:val="32"/>
          <w:lang w:eastAsia="zh-CN"/>
        </w:rPr>
      </w:pPr>
      <w:r>
        <w:rPr>
          <w:rFonts w:ascii="楷体" w:hAnsi="楷体" w:eastAsia="楷体"/>
          <w:sz w:val="32"/>
          <w:szCs w:val="32"/>
          <w:lang w:eastAsia="zh-CN"/>
        </w:rPr>
        <w:t xml:space="preserve">（五）提供安全的产品和服务，遵守商业道德情况 </w:t>
      </w:r>
    </w:p>
    <w:p w14:paraId="6B46D66E">
      <w:pPr>
        <w:autoSpaceDE w:val="0"/>
        <w:autoSpaceDN w:val="0"/>
        <w:adjustRightInd w:val="0"/>
        <w:snapToGrid w:val="0"/>
        <w:spacing w:line="560" w:lineRule="exact"/>
        <w:ind w:right="14" w:rightChars="6" w:firstLine="640" w:firstLineChars="200"/>
        <w:rPr>
          <w:rFonts w:ascii="仿宋_GB2312" w:hAnsi="仿宋" w:eastAsia="仿宋_GB2312" w:cs="仿宋"/>
          <w:sz w:val="32"/>
          <w:szCs w:val="32"/>
          <w:lang w:eastAsia="zh-CN"/>
        </w:rPr>
      </w:pPr>
      <w:r>
        <w:rPr>
          <w:rFonts w:ascii="仿宋_GB2312" w:hAnsi="仿宋" w:eastAsia="仿宋_GB2312" w:cs="仿宋"/>
          <w:sz w:val="32"/>
          <w:szCs w:val="32"/>
          <w:lang w:eastAsia="zh-CN"/>
        </w:rPr>
        <w:t>公司始终遵守市场竞争规则和商业道德，维护市场经济秩序， 促进公平竞争，增强经济活动的可预期性。坚持依法经营，牢记 道德底线、法律红线，诚信合规经营。坚持以公平、对等、诚信 的态度对待商业合作伙伴，努力赢得伙伴和市场的信赖。</w:t>
      </w:r>
    </w:p>
    <w:p w14:paraId="630FC9D6">
      <w:pPr>
        <w:autoSpaceDE w:val="0"/>
        <w:autoSpaceDN w:val="0"/>
        <w:adjustRightInd w:val="0"/>
        <w:snapToGrid w:val="0"/>
        <w:spacing w:line="560" w:lineRule="exact"/>
        <w:ind w:right="14" w:rightChars="6" w:firstLine="640" w:firstLineChars="20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（六）对外大额捐赠和赞助情况</w:t>
      </w:r>
    </w:p>
    <w:p w14:paraId="285F2A43">
      <w:pPr>
        <w:autoSpaceDE w:val="0"/>
        <w:autoSpaceDN w:val="0"/>
        <w:adjustRightInd w:val="0"/>
        <w:snapToGrid w:val="0"/>
        <w:spacing w:line="560" w:lineRule="exact"/>
        <w:ind w:right="14" w:rightChars="6" w:firstLine="640"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无。</w:t>
      </w:r>
    </w:p>
    <w:p w14:paraId="6FD8FCC9">
      <w:pPr>
        <w:spacing w:line="560" w:lineRule="exact"/>
        <w:ind w:right="77" w:firstLine="484"/>
        <w:jc w:val="both"/>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以上信息，尚未经公司董事会审批。</w:t>
      </w:r>
    </w:p>
    <w:p w14:paraId="61462B65">
      <w:pPr>
        <w:spacing w:line="560" w:lineRule="exact"/>
        <w:ind w:right="77" w:firstLine="484"/>
        <w:jc w:val="both"/>
        <w:rPr>
          <w:rFonts w:ascii="仿宋_GB2312" w:hAnsi="仿宋" w:eastAsia="仿宋_GB2312" w:cs="仿宋"/>
          <w:sz w:val="32"/>
          <w:szCs w:val="32"/>
          <w:lang w:eastAsia="zh-CN"/>
        </w:rPr>
      </w:pPr>
    </w:p>
    <w:p w14:paraId="1193B6E0">
      <w:pPr>
        <w:spacing w:line="560" w:lineRule="exact"/>
        <w:ind w:right="77" w:firstLine="484"/>
        <w:jc w:val="both"/>
        <w:rPr>
          <w:rFonts w:ascii="仿宋_GB2312" w:hAnsi="仿宋" w:eastAsia="仿宋_GB2312" w:cs="仿宋"/>
          <w:sz w:val="32"/>
          <w:szCs w:val="32"/>
          <w:lang w:eastAsia="zh-CN"/>
        </w:rPr>
      </w:pPr>
    </w:p>
    <w:p w14:paraId="769003F8">
      <w:pPr>
        <w:spacing w:line="560" w:lineRule="exact"/>
        <w:ind w:right="77" w:firstLine="4800" w:firstLineChars="1500"/>
        <w:jc w:val="both"/>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东平铁路有限责任公司</w:t>
      </w:r>
    </w:p>
    <w:p w14:paraId="6C740CEC">
      <w:pPr>
        <w:spacing w:line="560" w:lineRule="exact"/>
        <w:ind w:right="77" w:firstLine="5120" w:firstLineChars="1600"/>
        <w:jc w:val="both"/>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2</w:t>
      </w:r>
      <w:r>
        <w:rPr>
          <w:rFonts w:ascii="仿宋_GB2312" w:hAnsi="仿宋" w:eastAsia="仿宋_GB2312" w:cs="仿宋"/>
          <w:sz w:val="32"/>
          <w:szCs w:val="32"/>
          <w:lang w:eastAsia="zh-CN"/>
        </w:rPr>
        <w:t>02</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lang w:eastAsia="zh-CN"/>
        </w:rPr>
        <w:t>年</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月</w:t>
      </w:r>
      <w:r>
        <w:rPr>
          <w:rFonts w:hint="eastAsia" w:ascii="仿宋_GB2312" w:hAnsi="仿宋" w:eastAsia="仿宋_GB2312" w:cs="仿宋"/>
          <w:sz w:val="32"/>
          <w:szCs w:val="32"/>
          <w:lang w:val="en-US" w:eastAsia="zh-CN"/>
        </w:rPr>
        <w:t>29</w:t>
      </w:r>
      <w:r>
        <w:rPr>
          <w:rFonts w:hint="eastAsia" w:ascii="仿宋_GB2312" w:hAnsi="仿宋" w:eastAsia="仿宋_GB2312" w:cs="仿宋"/>
          <w:sz w:val="32"/>
          <w:szCs w:val="32"/>
          <w:lang w:eastAsia="zh-CN"/>
        </w:rPr>
        <w:t>日</w:t>
      </w:r>
    </w:p>
    <w:p w14:paraId="3F2CB1AD">
      <w:pPr>
        <w:rPr>
          <w:lang w:eastAsia="zh-CN"/>
        </w:rPr>
      </w:pPr>
    </w:p>
    <w:sectPr>
      <w:footerReference r:id="rId5" w:type="default"/>
      <w:footerReference r:id="rId6" w:type="even"/>
      <w:pgSz w:w="11900" w:h="16840"/>
      <w:pgMar w:top="2098" w:right="1474" w:bottom="1985" w:left="1588" w:header="1423" w:footer="760" w:gutter="0"/>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8285020"/>
      <w:docPartObj>
        <w:docPartGallery w:val="autotext"/>
      </w:docPartObj>
    </w:sdtPr>
    <w:sdtEndPr>
      <w:rPr>
        <w:rFonts w:ascii="宋体" w:hAnsi="宋体" w:eastAsia="宋体"/>
        <w:sz w:val="28"/>
        <w:szCs w:val="28"/>
      </w:rPr>
    </w:sdtEndPr>
    <w:sdtContent>
      <w:p w14:paraId="02DDEE9F">
        <w:pPr>
          <w:pStyle w:val="2"/>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eastAsia="zh-CN"/>
          </w:rPr>
          <w:t>-</w:t>
        </w:r>
        <w:r>
          <w:rPr>
            <w:rFonts w:ascii="宋体" w:hAnsi="宋体" w:eastAsia="宋体"/>
            <w:sz w:val="28"/>
            <w:szCs w:val="28"/>
          </w:rPr>
          <w:t xml:space="preserve"> 9 -</w:t>
        </w:r>
        <w:r>
          <w:rPr>
            <w:rFonts w:ascii="宋体" w:hAnsi="宋体" w:eastAsia="宋体"/>
            <w:sz w:val="28"/>
            <w:szCs w:val="28"/>
          </w:rPr>
          <w:fldChar w:fldCharType="end"/>
        </w:r>
      </w:p>
    </w:sdtContent>
  </w:sdt>
  <w:p w14:paraId="7399F5C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7154877"/>
      <w:docPartObj>
        <w:docPartGallery w:val="autotext"/>
      </w:docPartObj>
    </w:sdtPr>
    <w:sdtEndPr>
      <w:rPr>
        <w:rFonts w:ascii="宋体" w:hAnsi="宋体" w:eastAsia="宋体"/>
        <w:sz w:val="28"/>
        <w:szCs w:val="28"/>
      </w:rPr>
    </w:sdtEndPr>
    <w:sdtContent>
      <w:p w14:paraId="254FB7ED">
        <w:pPr>
          <w:pStyle w:val="2"/>
          <w:ind w:right="72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rPr>
          <w:t>- 10 -</w:t>
        </w:r>
        <w:r>
          <w:rPr>
            <w:rFonts w:ascii="宋体" w:hAnsi="宋体" w:eastAsia="宋体"/>
            <w:sz w:val="28"/>
            <w:szCs w:val="28"/>
          </w:rPr>
          <w:fldChar w:fldCharType="end"/>
        </w:r>
      </w:p>
    </w:sdtContent>
  </w:sdt>
  <w:p w14:paraId="5915C869">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iMWYzM2Q4OTVmYjY3ZTQ0Zjc4MDI2MTdiMWE4ZGQifQ=="/>
  </w:docVars>
  <w:rsids>
    <w:rsidRoot w:val="00A90C11"/>
    <w:rsid w:val="000148A8"/>
    <w:rsid w:val="000320EB"/>
    <w:rsid w:val="00062B04"/>
    <w:rsid w:val="000F2588"/>
    <w:rsid w:val="000F4325"/>
    <w:rsid w:val="001B3B3E"/>
    <w:rsid w:val="00266CB4"/>
    <w:rsid w:val="002D40A7"/>
    <w:rsid w:val="0031624D"/>
    <w:rsid w:val="00392EB4"/>
    <w:rsid w:val="003D251D"/>
    <w:rsid w:val="00405DD6"/>
    <w:rsid w:val="00452BD0"/>
    <w:rsid w:val="00460739"/>
    <w:rsid w:val="0046077D"/>
    <w:rsid w:val="00593F06"/>
    <w:rsid w:val="00677AE0"/>
    <w:rsid w:val="006E23B7"/>
    <w:rsid w:val="007008D4"/>
    <w:rsid w:val="00753C57"/>
    <w:rsid w:val="00861DAB"/>
    <w:rsid w:val="00863268"/>
    <w:rsid w:val="00932D92"/>
    <w:rsid w:val="00A90C11"/>
    <w:rsid w:val="00A92035"/>
    <w:rsid w:val="00BD40D3"/>
    <w:rsid w:val="00C850F2"/>
    <w:rsid w:val="00CA77C5"/>
    <w:rsid w:val="00CF56BA"/>
    <w:rsid w:val="00D76641"/>
    <w:rsid w:val="00E568F1"/>
    <w:rsid w:val="00ED3BDA"/>
    <w:rsid w:val="00FE1B66"/>
    <w:rsid w:val="013C57C1"/>
    <w:rsid w:val="01F050FD"/>
    <w:rsid w:val="066C6237"/>
    <w:rsid w:val="09392F63"/>
    <w:rsid w:val="095E0675"/>
    <w:rsid w:val="097C7922"/>
    <w:rsid w:val="0AA64689"/>
    <w:rsid w:val="0FD07872"/>
    <w:rsid w:val="11BC5054"/>
    <w:rsid w:val="13EC536C"/>
    <w:rsid w:val="14BC63CC"/>
    <w:rsid w:val="16657906"/>
    <w:rsid w:val="19A25A0C"/>
    <w:rsid w:val="1CC56F94"/>
    <w:rsid w:val="1ED92F13"/>
    <w:rsid w:val="1F3D2BA1"/>
    <w:rsid w:val="1FD323F2"/>
    <w:rsid w:val="20DA182C"/>
    <w:rsid w:val="23DB7146"/>
    <w:rsid w:val="25A562F7"/>
    <w:rsid w:val="26D17390"/>
    <w:rsid w:val="29244EBA"/>
    <w:rsid w:val="2A9E766D"/>
    <w:rsid w:val="2B7D1EF0"/>
    <w:rsid w:val="2D552392"/>
    <w:rsid w:val="2E3C1BBC"/>
    <w:rsid w:val="31CF04BC"/>
    <w:rsid w:val="3396092E"/>
    <w:rsid w:val="34EE0DCD"/>
    <w:rsid w:val="35B33BC5"/>
    <w:rsid w:val="36245075"/>
    <w:rsid w:val="37643EED"/>
    <w:rsid w:val="397A15B2"/>
    <w:rsid w:val="3C950565"/>
    <w:rsid w:val="3CC36ECD"/>
    <w:rsid w:val="3D937FF6"/>
    <w:rsid w:val="3E335AE1"/>
    <w:rsid w:val="3E9E746C"/>
    <w:rsid w:val="40AC1D94"/>
    <w:rsid w:val="40FC435E"/>
    <w:rsid w:val="421F7F53"/>
    <w:rsid w:val="42293D69"/>
    <w:rsid w:val="42B04115"/>
    <w:rsid w:val="44F51692"/>
    <w:rsid w:val="4795562C"/>
    <w:rsid w:val="47FC1919"/>
    <w:rsid w:val="48A96788"/>
    <w:rsid w:val="495856DC"/>
    <w:rsid w:val="496B7F64"/>
    <w:rsid w:val="4B424154"/>
    <w:rsid w:val="4C49688B"/>
    <w:rsid w:val="4CD73009"/>
    <w:rsid w:val="4E0D3328"/>
    <w:rsid w:val="4F6B760D"/>
    <w:rsid w:val="4F88112A"/>
    <w:rsid w:val="50614146"/>
    <w:rsid w:val="51DC19E0"/>
    <w:rsid w:val="538B7116"/>
    <w:rsid w:val="54210ABC"/>
    <w:rsid w:val="5491738D"/>
    <w:rsid w:val="577D1623"/>
    <w:rsid w:val="57B67C8D"/>
    <w:rsid w:val="5A657D64"/>
    <w:rsid w:val="5AA8017D"/>
    <w:rsid w:val="5ACD5457"/>
    <w:rsid w:val="5B953DC6"/>
    <w:rsid w:val="5BF141C0"/>
    <w:rsid w:val="5C0D1BAE"/>
    <w:rsid w:val="5DEF6039"/>
    <w:rsid w:val="621A70B3"/>
    <w:rsid w:val="64EB7DBE"/>
    <w:rsid w:val="64F7062F"/>
    <w:rsid w:val="67545BAD"/>
    <w:rsid w:val="682B7D01"/>
    <w:rsid w:val="68E679A2"/>
    <w:rsid w:val="69FB706B"/>
    <w:rsid w:val="6A8C3707"/>
    <w:rsid w:val="6B746B4D"/>
    <w:rsid w:val="6D050669"/>
    <w:rsid w:val="6DA24607"/>
    <w:rsid w:val="6E08659A"/>
    <w:rsid w:val="71711009"/>
    <w:rsid w:val="71FC4D8C"/>
    <w:rsid w:val="74351B78"/>
    <w:rsid w:val="750330B6"/>
    <w:rsid w:val="75621BD5"/>
    <w:rsid w:val="771A653E"/>
    <w:rsid w:val="7722283A"/>
    <w:rsid w:val="79836B0A"/>
    <w:rsid w:val="7BF1074D"/>
    <w:rsid w:val="7D0902CB"/>
    <w:rsid w:val="7D9702B2"/>
    <w:rsid w:val="7DDA1B02"/>
    <w:rsid w:val="7E220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99"/>
    <w:pPr>
      <w:tabs>
        <w:tab w:val="center" w:pos="4153"/>
        <w:tab w:val="right" w:pos="8306"/>
      </w:tabs>
      <w:snapToGrid w:val="0"/>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Heading #1|1_"/>
    <w:basedOn w:val="5"/>
    <w:link w:val="7"/>
    <w:qFormat/>
    <w:uiPriority w:val="0"/>
    <w:rPr>
      <w:rFonts w:ascii="宋体" w:hAnsi="宋体" w:eastAsia="宋体" w:cs="宋体"/>
      <w:sz w:val="42"/>
      <w:szCs w:val="42"/>
      <w:u w:val="none"/>
      <w:shd w:val="clear" w:color="auto" w:fill="auto"/>
      <w:lang w:val="zh-TW" w:eastAsia="zh-TW" w:bidi="zh-TW"/>
    </w:rPr>
  </w:style>
  <w:style w:type="paragraph" w:customStyle="1" w:styleId="7">
    <w:name w:val="Heading #1|1"/>
    <w:basedOn w:val="1"/>
    <w:link w:val="6"/>
    <w:qFormat/>
    <w:uiPriority w:val="0"/>
    <w:pPr>
      <w:spacing w:after="350"/>
      <w:jc w:val="center"/>
      <w:outlineLvl w:val="0"/>
    </w:pPr>
    <w:rPr>
      <w:rFonts w:ascii="宋体" w:hAnsi="宋体" w:eastAsia="宋体" w:cs="宋体"/>
      <w:sz w:val="42"/>
      <w:szCs w:val="42"/>
      <w:lang w:val="zh-TW" w:eastAsia="zh-TW" w:bidi="zh-TW"/>
    </w:rPr>
  </w:style>
  <w:style w:type="character" w:customStyle="1" w:styleId="8">
    <w:name w:val="Table caption|1_"/>
    <w:basedOn w:val="5"/>
    <w:link w:val="9"/>
    <w:qFormat/>
    <w:uiPriority w:val="0"/>
    <w:rPr>
      <w:rFonts w:ascii="宋体" w:hAnsi="宋体" w:eastAsia="宋体" w:cs="宋体"/>
      <w:sz w:val="20"/>
      <w:szCs w:val="20"/>
      <w:u w:val="none"/>
      <w:shd w:val="clear" w:color="auto" w:fill="auto"/>
      <w:lang w:val="zh-TW" w:eastAsia="zh-TW" w:bidi="zh-TW"/>
    </w:rPr>
  </w:style>
  <w:style w:type="paragraph" w:customStyle="1" w:styleId="9">
    <w:name w:val="Table caption|1"/>
    <w:basedOn w:val="1"/>
    <w:link w:val="8"/>
    <w:qFormat/>
    <w:uiPriority w:val="0"/>
    <w:rPr>
      <w:rFonts w:ascii="宋体" w:hAnsi="宋体" w:eastAsia="宋体" w:cs="宋体"/>
      <w:sz w:val="20"/>
      <w:szCs w:val="20"/>
      <w:lang w:val="zh-TW" w:eastAsia="zh-TW" w:bidi="zh-TW"/>
    </w:rPr>
  </w:style>
  <w:style w:type="character" w:customStyle="1" w:styleId="10">
    <w:name w:val="Other|1_"/>
    <w:basedOn w:val="5"/>
    <w:link w:val="11"/>
    <w:qFormat/>
    <w:uiPriority w:val="0"/>
    <w:rPr>
      <w:sz w:val="30"/>
      <w:szCs w:val="30"/>
      <w:u w:val="none"/>
      <w:shd w:val="clear" w:color="auto" w:fill="auto"/>
    </w:rPr>
  </w:style>
  <w:style w:type="paragraph" w:customStyle="1" w:styleId="11">
    <w:name w:val="Other|1"/>
    <w:basedOn w:val="1"/>
    <w:link w:val="10"/>
    <w:qFormat/>
    <w:uiPriority w:val="0"/>
    <w:rPr>
      <w:sz w:val="30"/>
      <w:szCs w:val="30"/>
    </w:rPr>
  </w:style>
  <w:style w:type="character" w:customStyle="1" w:styleId="12">
    <w:name w:val="页眉 Char"/>
    <w:basedOn w:val="5"/>
    <w:link w:val="3"/>
    <w:qFormat/>
    <w:uiPriority w:val="0"/>
    <w:rPr>
      <w:rFonts w:eastAsia="Times New Roman"/>
      <w:color w:val="000000"/>
      <w:sz w:val="18"/>
      <w:szCs w:val="18"/>
      <w:lang w:eastAsia="en-US" w:bidi="en-US"/>
    </w:rPr>
  </w:style>
  <w:style w:type="character" w:customStyle="1" w:styleId="13">
    <w:name w:val="页脚 Char"/>
    <w:basedOn w:val="5"/>
    <w:link w:val="2"/>
    <w:qFormat/>
    <w:uiPriority w:val="99"/>
    <w:rPr>
      <w:rFonts w:eastAsia="Times New Roman"/>
      <w:color w:val="000000"/>
      <w:sz w:val="18"/>
      <w:szCs w:val="18"/>
      <w:lang w:eastAsia="en-US" w:bidi="en-US"/>
    </w:rPr>
  </w:style>
  <w:style w:type="table" w:customStyle="1" w:styleId="14">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3290</Words>
  <Characters>3565</Characters>
  <Lines>32</Lines>
  <Paragraphs>9</Paragraphs>
  <TotalTime>41</TotalTime>
  <ScaleCrop>false</ScaleCrop>
  <LinksUpToDate>false</LinksUpToDate>
  <CharactersWithSpaces>3608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2022-04-21T10:18:00Z</dcterms:created>
  <dc:creator>sdtl</dc:creator>
  <cp:lastModifiedBy>影子</cp:lastModifiedBy>
  <dcterms:modified xsi:type="dcterms:W3CDTF">2025-09-02T02:15:12Z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676601F34AF04157929FB18769D1B5E8</vt:lpwstr>
  </property>
  <property fmtid="{D5CDD505-2E9C-101B-9397-08002B2CF9AE}" pid="4" name="KSOTemplateDocerSaveRecord">
    <vt:lpwstr>eyJoZGlkIjoiOGJiMWYzM2Q4OTVmYjY3ZTQ0Zjc4MDI2MTdiMWE4ZGQiLCJ1c2VySWQiOiIxMjQxMzMxNzEzIn0=</vt:lpwstr>
  </property>
</Properties>
</file>