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90B0E">
      <w:pPr>
        <w:spacing w:line="580" w:lineRule="exact"/>
        <w:jc w:val="center"/>
        <w:rPr>
          <w:rFonts w:ascii="方正小标宋简体" w:eastAsia="方正小标宋简体"/>
          <w:sz w:val="44"/>
          <w:szCs w:val="44"/>
          <w:lang w:val="zh-CN" w:bidi="zh-CN"/>
        </w:rPr>
      </w:pPr>
      <w:bookmarkStart w:id="0" w:name="bookmark1"/>
      <w:bookmarkStart w:id="1" w:name="bookmark2"/>
      <w:bookmarkStart w:id="2" w:name="bookmark0"/>
      <w:r>
        <w:rPr>
          <w:rFonts w:hint="eastAsia" w:ascii="方正小标宋简体" w:eastAsia="方正小标宋简体"/>
          <w:sz w:val="44"/>
          <w:szCs w:val="44"/>
          <w:lang w:val="zh-CN" w:bidi="zh-CN"/>
        </w:rPr>
        <w:t>沂沭铁路公司</w:t>
      </w:r>
      <w:r>
        <w:rPr>
          <w:rFonts w:hint="eastAsia" w:ascii="方正小标宋简体" w:eastAsia="方正小标宋简体"/>
          <w:sz w:val="44"/>
          <w:szCs w:val="44"/>
          <w:lang w:bidi="zh-CN"/>
        </w:rPr>
        <w:t>年度信息</w:t>
      </w:r>
      <w:r>
        <w:rPr>
          <w:rFonts w:hint="eastAsia" w:ascii="方正小标宋简体" w:eastAsia="方正小标宋简体"/>
          <w:sz w:val="44"/>
          <w:szCs w:val="44"/>
          <w:lang w:val="zh-CN" w:bidi="zh-CN"/>
        </w:rPr>
        <w:t>公开信息</w:t>
      </w:r>
    </w:p>
    <w:p w14:paraId="47D25D71">
      <w:pPr>
        <w:spacing w:line="580" w:lineRule="exact"/>
        <w:rPr>
          <w:rFonts w:ascii="黑体" w:hAnsi="黑体" w:eastAsia="黑体" w:cs="黑体"/>
          <w:sz w:val="32"/>
          <w:szCs w:val="32"/>
        </w:rPr>
      </w:pPr>
    </w:p>
    <w:p w14:paraId="62991B72">
      <w:pPr>
        <w:spacing w:line="580" w:lineRule="exact"/>
        <w:ind w:firstLine="640" w:firstLineChars="200"/>
        <w:rPr>
          <w:rFonts w:ascii="黑体" w:hAnsi="黑体" w:eastAsia="黑体" w:cs="黑体"/>
          <w:sz w:val="32"/>
          <w:szCs w:val="32"/>
        </w:rPr>
      </w:pPr>
      <w:r>
        <w:rPr>
          <w:rFonts w:ascii="黑体" w:hAnsi="黑体" w:eastAsia="黑体" w:cs="黑体"/>
          <w:sz w:val="32"/>
          <w:szCs w:val="32"/>
        </w:rPr>
        <w:t xml:space="preserve">一、工商注册登记等公司基本信息 </w:t>
      </w:r>
    </w:p>
    <w:p w14:paraId="061AAE3F">
      <w:pPr>
        <w:spacing w:line="580" w:lineRule="exact"/>
        <w:ind w:firstLine="707" w:firstLineChars="221"/>
        <w:rPr>
          <w:rFonts w:ascii="楷体_GB2312" w:hAnsi="黑体" w:eastAsia="楷体_GB2312" w:cs="黑体"/>
          <w:sz w:val="32"/>
          <w:szCs w:val="32"/>
        </w:rPr>
      </w:pPr>
      <w:r>
        <w:rPr>
          <w:rFonts w:hint="eastAsia" w:ascii="楷体_GB2312" w:hAnsi="黑体" w:eastAsia="楷体_GB2312" w:cs="黑体"/>
          <w:sz w:val="32"/>
          <w:szCs w:val="32"/>
        </w:rPr>
        <w:t xml:space="preserve">（一）公司简介 </w:t>
      </w:r>
    </w:p>
    <w:p w14:paraId="4EF33A38">
      <w:pPr>
        <w:spacing w:line="580" w:lineRule="exact"/>
        <w:ind w:firstLine="707" w:firstLineChars="221"/>
        <w:rPr>
          <w:rFonts w:ascii="仿宋_GB2312" w:hAnsi="黑体" w:eastAsia="仿宋_GB2312"/>
          <w:sz w:val="32"/>
          <w:szCs w:val="28"/>
        </w:rPr>
      </w:pPr>
      <w:r>
        <w:rPr>
          <w:rFonts w:ascii="仿宋_GB2312" w:hAnsi="黑体" w:eastAsia="仿宋_GB2312"/>
          <w:sz w:val="32"/>
          <w:szCs w:val="28"/>
        </w:rPr>
        <w:t>沂沭铁路自胶新线梅家埠站接轨，至临沭站，管辖临沭站，全长19.25 公里，于2015年12月16日建成通车。按照山东省委、省政府和国家铁路集团“一省一公司”的重大决策部署，</w:t>
      </w:r>
      <w:r>
        <w:rPr>
          <w:rFonts w:hint="eastAsia" w:ascii="仿宋" w:hAnsi="仿宋" w:eastAsia="仿宋" w:cs="仿宋"/>
          <w:sz w:val="32"/>
          <w:szCs w:val="32"/>
        </w:rPr>
        <w:t>沂沭</w:t>
      </w:r>
      <w:r>
        <w:rPr>
          <w:rFonts w:ascii="仿宋_GB2312" w:hAnsi="黑体" w:eastAsia="仿宋_GB2312"/>
          <w:sz w:val="32"/>
          <w:szCs w:val="28"/>
        </w:rPr>
        <w:t>铁路有限责任公司</w:t>
      </w:r>
      <w:r>
        <w:rPr>
          <w:rFonts w:hint="eastAsia" w:ascii="仿宋_GB2312" w:hAnsi="黑体" w:eastAsia="仿宋_GB2312"/>
          <w:sz w:val="32"/>
          <w:szCs w:val="28"/>
          <w:lang w:val="en-US" w:eastAsia="zh-CN"/>
        </w:rPr>
        <w:t>于2020年7月</w:t>
      </w:r>
      <w:r>
        <w:rPr>
          <w:rFonts w:ascii="仿宋_GB2312" w:hAnsi="黑体" w:eastAsia="仿宋_GB2312"/>
          <w:sz w:val="32"/>
          <w:szCs w:val="28"/>
        </w:rPr>
        <w:t>由中国铁路济南局集团有限公司移交山东铁路有限公司。</w:t>
      </w:r>
    </w:p>
    <w:p w14:paraId="683A4F61">
      <w:pPr>
        <w:spacing w:line="580" w:lineRule="exact"/>
        <w:ind w:firstLine="707" w:firstLineChars="221"/>
        <w:rPr>
          <w:rFonts w:ascii="黑体" w:hAnsi="黑体" w:eastAsia="黑体" w:cs="黑体"/>
          <w:sz w:val="32"/>
          <w:szCs w:val="32"/>
        </w:rPr>
      </w:pPr>
      <w:r>
        <w:rPr>
          <w:rFonts w:hint="eastAsia" w:ascii="楷体_GB2312" w:hAnsi="黑体" w:eastAsia="楷体_GB2312" w:cs="黑体"/>
          <w:sz w:val="32"/>
          <w:szCs w:val="32"/>
        </w:rPr>
        <w:t>（二）公司注册信息</w:t>
      </w:r>
    </w:p>
    <w:p w14:paraId="1A963ED6">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公司名称：</w:t>
      </w:r>
      <w:r>
        <w:rPr>
          <w:rFonts w:hint="eastAsia" w:ascii="仿宋" w:hAnsi="仿宋" w:eastAsia="仿宋" w:cs="仿宋"/>
          <w:sz w:val="32"/>
          <w:szCs w:val="32"/>
        </w:rPr>
        <w:t>沂沭铁路有限责任公司</w:t>
      </w:r>
    </w:p>
    <w:p w14:paraId="172F69C0">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法定代表人：</w:t>
      </w:r>
      <w:r>
        <w:rPr>
          <w:rFonts w:hint="eastAsia" w:ascii="仿宋" w:hAnsi="仿宋" w:eastAsia="仿宋" w:cs="仿宋"/>
          <w:sz w:val="32"/>
          <w:szCs w:val="32"/>
        </w:rPr>
        <w:t>王炎义</w:t>
      </w:r>
    </w:p>
    <w:p w14:paraId="599A1BDE">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统一社会信用代码：</w:t>
      </w:r>
      <w:r>
        <w:rPr>
          <w:rFonts w:hint="eastAsia" w:ascii="仿宋" w:hAnsi="仿宋" w:eastAsia="仿宋" w:cs="仿宋"/>
          <w:sz w:val="32"/>
          <w:szCs w:val="32"/>
        </w:rPr>
        <w:t>91370000567704551Q</w:t>
      </w:r>
    </w:p>
    <w:p w14:paraId="6639AB8E">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营业期限：</w:t>
      </w:r>
      <w:r>
        <w:rPr>
          <w:rFonts w:hint="eastAsia" w:ascii="仿宋" w:hAnsi="仿宋" w:eastAsia="仿宋" w:cs="仿宋"/>
          <w:sz w:val="32"/>
          <w:szCs w:val="32"/>
        </w:rPr>
        <w:t>2010-12-27至2060-12-27</w:t>
      </w:r>
    </w:p>
    <w:p w14:paraId="0792FF1D">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注册资本：</w:t>
      </w:r>
      <w:r>
        <w:rPr>
          <w:rFonts w:hint="eastAsia" w:ascii="仿宋_GB2312" w:eastAsia="仿宋_GB2312"/>
          <w:sz w:val="32"/>
          <w:szCs w:val="32"/>
        </w:rPr>
        <w:t>39195</w:t>
      </w:r>
      <w:r>
        <w:rPr>
          <w:rFonts w:eastAsia="仿宋_GB2312"/>
          <w:sz w:val="32"/>
          <w:szCs w:val="32"/>
        </w:rPr>
        <w:t>万元</w:t>
      </w:r>
    </w:p>
    <w:p w14:paraId="7DA0CBA1">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公司类型：</w:t>
      </w:r>
      <w:r>
        <w:rPr>
          <w:rFonts w:hint="eastAsia" w:ascii="仿宋" w:hAnsi="仿宋" w:eastAsia="仿宋" w:cs="仿宋"/>
          <w:sz w:val="32"/>
          <w:szCs w:val="32"/>
        </w:rPr>
        <w:t>有限责任公司（国有控股）</w:t>
      </w:r>
      <w:r>
        <w:rPr>
          <w:rFonts w:hint="eastAsia" w:ascii="仿宋" w:hAnsi="仿宋" w:eastAsia="仿宋" w:cs="仿宋"/>
          <w:sz w:val="32"/>
          <w:szCs w:val="32"/>
        </w:rPr>
        <w:tab/>
      </w:r>
    </w:p>
    <w:p w14:paraId="4B69EED4">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登记机关：</w:t>
      </w:r>
      <w:r>
        <w:rPr>
          <w:rFonts w:hint="eastAsia" w:ascii="仿宋" w:hAnsi="仿宋" w:eastAsia="仿宋" w:cs="仿宋"/>
          <w:sz w:val="32"/>
          <w:szCs w:val="32"/>
        </w:rPr>
        <w:t>山东省市场监督管理局</w:t>
      </w:r>
      <w:r>
        <w:rPr>
          <w:rFonts w:hint="eastAsia" w:ascii="仿宋" w:hAnsi="仿宋" w:eastAsia="仿宋" w:cs="仿宋"/>
          <w:sz w:val="32"/>
          <w:szCs w:val="32"/>
        </w:rPr>
        <w:tab/>
      </w:r>
    </w:p>
    <w:p w14:paraId="4B7FBDBF">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注册地址：</w:t>
      </w:r>
      <w:r>
        <w:rPr>
          <w:rFonts w:hint="eastAsia" w:ascii="仿宋" w:hAnsi="仿宋" w:eastAsia="仿宋" w:cs="仿宋"/>
          <w:sz w:val="32"/>
          <w:szCs w:val="32"/>
        </w:rPr>
        <w:t>山东省临沂市临沭县泰安路</w:t>
      </w:r>
    </w:p>
    <w:p w14:paraId="34AEA9A1">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经营范围：</w:t>
      </w:r>
      <w:r>
        <w:rPr>
          <w:rFonts w:hint="eastAsia" w:eastAsia="仿宋_GB2312"/>
          <w:sz w:val="32"/>
          <w:szCs w:val="32"/>
        </w:rPr>
        <w:t>沂沭铁路的建设和货物运输，仓储（不含危险品）。（依法须经批准的项目，经相关部门批准后方可开展经营活动）</w:t>
      </w:r>
    </w:p>
    <w:p w14:paraId="1BDF2D92">
      <w:pPr>
        <w:spacing w:line="580" w:lineRule="exact"/>
        <w:ind w:firstLine="707" w:firstLineChars="221"/>
        <w:rPr>
          <w:rFonts w:ascii="楷体_GB2312" w:hAnsi="黑体" w:eastAsia="楷体_GB2312" w:cs="黑体"/>
          <w:sz w:val="32"/>
          <w:szCs w:val="32"/>
        </w:rPr>
      </w:pPr>
      <w:r>
        <w:rPr>
          <w:rFonts w:hint="eastAsia" w:ascii="楷体_GB2312" w:hAnsi="黑体" w:eastAsia="楷体_GB2312" w:cs="黑体"/>
          <w:sz w:val="32"/>
          <w:szCs w:val="32"/>
        </w:rPr>
        <w:t>（三）股东（发起人）信息</w:t>
      </w:r>
    </w:p>
    <w:p w14:paraId="2E8CC848">
      <w:pPr>
        <w:snapToGrid w:val="0"/>
        <w:spacing w:line="580" w:lineRule="exact"/>
        <w:ind w:firstLine="640" w:firstLineChars="200"/>
        <w:rPr>
          <w:rFonts w:ascii="仿宋_GB2312" w:eastAsia="仿宋_GB2312"/>
          <w:sz w:val="32"/>
          <w:szCs w:val="32"/>
        </w:rPr>
      </w:pPr>
      <w:r>
        <w:rPr>
          <w:rFonts w:hint="eastAsia" w:ascii="仿宋_GB2312" w:hAnsi="黑体" w:eastAsia="仿宋_GB2312"/>
          <w:sz w:val="32"/>
          <w:szCs w:val="28"/>
        </w:rPr>
        <w:t>山东铁路有限公司，</w:t>
      </w:r>
      <w:r>
        <w:rPr>
          <w:rFonts w:hint="eastAsia" w:eastAsia="仿宋_GB2312"/>
          <w:sz w:val="32"/>
          <w:szCs w:val="32"/>
        </w:rPr>
        <w:t>出资3.06577亿元，占公司注册资本的78.22％；</w:t>
      </w:r>
    </w:p>
    <w:p w14:paraId="7CC26696">
      <w:pPr>
        <w:snapToGrid w:val="0"/>
        <w:spacing w:line="560" w:lineRule="exact"/>
        <w:ind w:firstLine="640" w:firstLineChars="200"/>
        <w:rPr>
          <w:rFonts w:ascii="仿宋_GB2312" w:eastAsia="仿宋_GB2312"/>
          <w:sz w:val="32"/>
          <w:szCs w:val="32"/>
        </w:rPr>
      </w:pPr>
      <w:r>
        <w:rPr>
          <w:rFonts w:hint="eastAsia" w:eastAsia="仿宋_GB2312"/>
          <w:sz w:val="32"/>
          <w:szCs w:val="32"/>
        </w:rPr>
        <w:t>临沭融达投资有限公司</w:t>
      </w:r>
      <w:r>
        <w:rPr>
          <w:rFonts w:hint="eastAsia" w:ascii="仿宋_GB2312" w:hAnsi="黑体" w:eastAsia="仿宋_GB2312"/>
          <w:sz w:val="32"/>
          <w:szCs w:val="28"/>
        </w:rPr>
        <w:t>，</w:t>
      </w:r>
      <w:r>
        <w:rPr>
          <w:rFonts w:hint="eastAsia" w:eastAsia="仿宋_GB2312"/>
          <w:sz w:val="32"/>
          <w:szCs w:val="32"/>
        </w:rPr>
        <w:t>出资0.85373亿元，占公司注册资本的21.78％。</w:t>
      </w:r>
    </w:p>
    <w:p w14:paraId="024E07E4">
      <w:pPr>
        <w:spacing w:line="580" w:lineRule="exact"/>
        <w:ind w:firstLine="707" w:firstLineChars="221"/>
        <w:rPr>
          <w:rFonts w:ascii="楷体_GB2312" w:hAnsi="黑体" w:eastAsia="楷体_GB2312" w:cs="黑体"/>
          <w:sz w:val="32"/>
          <w:szCs w:val="32"/>
        </w:rPr>
      </w:pPr>
      <w:r>
        <w:rPr>
          <w:rFonts w:hint="eastAsia" w:ascii="楷体_GB2312" w:hAnsi="黑体" w:eastAsia="楷体_GB2312" w:cs="黑体"/>
          <w:sz w:val="32"/>
          <w:szCs w:val="32"/>
        </w:rPr>
        <w:t>（四）公司治理及主要人员信息</w:t>
      </w:r>
    </w:p>
    <w:tbl>
      <w:tblPr>
        <w:tblStyle w:val="5"/>
        <w:tblW w:w="813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271"/>
        <w:gridCol w:w="2715"/>
        <w:gridCol w:w="3150"/>
      </w:tblGrid>
      <w:tr w14:paraId="1A241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restart"/>
            <w:tcBorders>
              <w:tl2br w:val="nil"/>
              <w:tr2bl w:val="nil"/>
            </w:tcBorders>
            <w:shd w:val="clear" w:color="auto" w:fill="auto"/>
            <w:tcMar>
              <w:top w:w="15" w:type="dxa"/>
              <w:left w:w="15" w:type="dxa"/>
              <w:right w:w="15" w:type="dxa"/>
            </w:tcMar>
            <w:vAlign w:val="center"/>
          </w:tcPr>
          <w:p w14:paraId="38577E2D">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董事会组成</w:t>
            </w:r>
          </w:p>
        </w:tc>
        <w:tc>
          <w:tcPr>
            <w:tcW w:w="2715" w:type="dxa"/>
            <w:tcBorders>
              <w:tl2br w:val="nil"/>
              <w:tr2bl w:val="nil"/>
            </w:tcBorders>
            <w:shd w:val="clear" w:color="auto" w:fill="auto"/>
            <w:tcMar>
              <w:top w:w="15" w:type="dxa"/>
              <w:left w:w="15" w:type="dxa"/>
              <w:right w:w="15" w:type="dxa"/>
            </w:tcMar>
            <w:vAlign w:val="center"/>
          </w:tcPr>
          <w:p w14:paraId="4296A3F4">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姓名</w:t>
            </w:r>
          </w:p>
        </w:tc>
        <w:tc>
          <w:tcPr>
            <w:tcW w:w="3150" w:type="dxa"/>
            <w:tcBorders>
              <w:tl2br w:val="nil"/>
              <w:tr2bl w:val="nil"/>
            </w:tcBorders>
            <w:shd w:val="clear" w:color="auto" w:fill="auto"/>
            <w:tcMar>
              <w:top w:w="15" w:type="dxa"/>
              <w:left w:w="15" w:type="dxa"/>
              <w:right w:w="15" w:type="dxa"/>
            </w:tcMar>
            <w:vAlign w:val="center"/>
          </w:tcPr>
          <w:p w14:paraId="61CF7C5C">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职务</w:t>
            </w:r>
          </w:p>
        </w:tc>
      </w:tr>
      <w:tr w14:paraId="5688F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5ABB4A8E">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091329C6">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王炎义</w:t>
            </w:r>
          </w:p>
        </w:tc>
        <w:tc>
          <w:tcPr>
            <w:tcW w:w="3150" w:type="dxa"/>
            <w:tcBorders>
              <w:tl2br w:val="nil"/>
              <w:tr2bl w:val="nil"/>
            </w:tcBorders>
            <w:shd w:val="clear" w:color="auto" w:fill="auto"/>
            <w:tcMar>
              <w:top w:w="15" w:type="dxa"/>
              <w:left w:w="15" w:type="dxa"/>
              <w:right w:w="15" w:type="dxa"/>
            </w:tcMar>
            <w:vAlign w:val="center"/>
          </w:tcPr>
          <w:p w14:paraId="6468DB7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董事长</w:t>
            </w:r>
          </w:p>
        </w:tc>
      </w:tr>
      <w:tr w14:paraId="352E4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52E42F5F">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08A8BB19">
            <w:pPr>
              <w:widowControl/>
              <w:jc w:val="center"/>
              <w:textAlignment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rPr>
              <w:t>张光岩</w:t>
            </w:r>
          </w:p>
        </w:tc>
        <w:tc>
          <w:tcPr>
            <w:tcW w:w="3150" w:type="dxa"/>
            <w:tcBorders>
              <w:tl2br w:val="nil"/>
              <w:tr2bl w:val="nil"/>
            </w:tcBorders>
            <w:shd w:val="clear" w:color="auto" w:fill="auto"/>
            <w:tcMar>
              <w:top w:w="15" w:type="dxa"/>
              <w:left w:w="15" w:type="dxa"/>
              <w:right w:w="15" w:type="dxa"/>
            </w:tcMar>
            <w:vAlign w:val="center"/>
          </w:tcPr>
          <w:p w14:paraId="08F11418">
            <w:pPr>
              <w:widowControl/>
              <w:jc w:val="center"/>
              <w:textAlignment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rPr>
              <w:t>董事</w:t>
            </w:r>
          </w:p>
        </w:tc>
      </w:tr>
      <w:tr w14:paraId="1587B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1B7029C4">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240A4CBD">
            <w:pPr>
              <w:widowControl/>
              <w:jc w:val="center"/>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于世玮</w:t>
            </w:r>
          </w:p>
        </w:tc>
        <w:tc>
          <w:tcPr>
            <w:tcW w:w="3150" w:type="dxa"/>
            <w:tcBorders>
              <w:tl2br w:val="nil"/>
              <w:tr2bl w:val="nil"/>
            </w:tcBorders>
            <w:shd w:val="clear" w:color="auto" w:fill="auto"/>
            <w:tcMar>
              <w:top w:w="15" w:type="dxa"/>
              <w:left w:w="15" w:type="dxa"/>
              <w:right w:w="15" w:type="dxa"/>
            </w:tcMar>
            <w:vAlign w:val="center"/>
          </w:tcPr>
          <w:p w14:paraId="603C5C2F">
            <w:pPr>
              <w:widowControl/>
              <w:jc w:val="center"/>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职工董事</w:t>
            </w:r>
          </w:p>
        </w:tc>
      </w:tr>
      <w:tr w14:paraId="79446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restart"/>
            <w:tcBorders>
              <w:tl2br w:val="nil"/>
              <w:tr2bl w:val="nil"/>
            </w:tcBorders>
            <w:shd w:val="clear" w:color="auto" w:fill="auto"/>
            <w:tcMar>
              <w:top w:w="15" w:type="dxa"/>
              <w:left w:w="15" w:type="dxa"/>
              <w:right w:w="15" w:type="dxa"/>
            </w:tcMar>
            <w:vAlign w:val="center"/>
          </w:tcPr>
          <w:p w14:paraId="3B313721">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监事会组成</w:t>
            </w:r>
          </w:p>
        </w:tc>
        <w:tc>
          <w:tcPr>
            <w:tcW w:w="2715" w:type="dxa"/>
            <w:tcBorders>
              <w:tl2br w:val="nil"/>
              <w:tr2bl w:val="nil"/>
            </w:tcBorders>
            <w:shd w:val="clear" w:color="auto" w:fill="auto"/>
            <w:tcMar>
              <w:top w:w="15" w:type="dxa"/>
              <w:left w:w="15" w:type="dxa"/>
              <w:right w:w="15" w:type="dxa"/>
            </w:tcMar>
            <w:vAlign w:val="center"/>
          </w:tcPr>
          <w:p w14:paraId="676B35D1">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姓名</w:t>
            </w:r>
          </w:p>
        </w:tc>
        <w:tc>
          <w:tcPr>
            <w:tcW w:w="3150" w:type="dxa"/>
            <w:tcBorders>
              <w:tl2br w:val="nil"/>
              <w:tr2bl w:val="nil"/>
            </w:tcBorders>
            <w:shd w:val="clear" w:color="auto" w:fill="auto"/>
            <w:tcMar>
              <w:top w:w="15" w:type="dxa"/>
              <w:left w:w="15" w:type="dxa"/>
              <w:right w:w="15" w:type="dxa"/>
            </w:tcMar>
            <w:vAlign w:val="center"/>
          </w:tcPr>
          <w:p w14:paraId="745C9BD5">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职务</w:t>
            </w:r>
          </w:p>
        </w:tc>
      </w:tr>
      <w:tr w14:paraId="7D925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7F3AA648">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0BE1DE4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袁京廷</w:t>
            </w:r>
          </w:p>
        </w:tc>
        <w:tc>
          <w:tcPr>
            <w:tcW w:w="3150" w:type="dxa"/>
            <w:tcBorders>
              <w:tl2br w:val="nil"/>
              <w:tr2bl w:val="nil"/>
            </w:tcBorders>
            <w:shd w:val="clear" w:color="auto" w:fill="auto"/>
            <w:tcMar>
              <w:top w:w="15" w:type="dxa"/>
              <w:left w:w="15" w:type="dxa"/>
              <w:right w:w="15" w:type="dxa"/>
            </w:tcMar>
            <w:vAlign w:val="center"/>
          </w:tcPr>
          <w:p w14:paraId="7D093F74">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rPr>
              <w:t>监事</w:t>
            </w:r>
            <w:r>
              <w:rPr>
                <w:rFonts w:hint="eastAsia" w:ascii="仿宋" w:hAnsi="仿宋" w:eastAsia="仿宋" w:cs="仿宋"/>
                <w:color w:val="000000"/>
                <w:kern w:val="0"/>
                <w:sz w:val="28"/>
                <w:szCs w:val="28"/>
                <w:lang w:val="en-US" w:eastAsia="zh-CN"/>
              </w:rPr>
              <w:t>会主席</w:t>
            </w:r>
          </w:p>
        </w:tc>
      </w:tr>
      <w:tr w14:paraId="65645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61C8DD9E">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19C97E21">
            <w:pPr>
              <w:widowControl/>
              <w:jc w:val="center"/>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闫军</w:t>
            </w:r>
          </w:p>
        </w:tc>
        <w:tc>
          <w:tcPr>
            <w:tcW w:w="3150" w:type="dxa"/>
            <w:tcBorders>
              <w:tl2br w:val="nil"/>
              <w:tr2bl w:val="nil"/>
            </w:tcBorders>
            <w:shd w:val="clear" w:color="auto" w:fill="auto"/>
            <w:tcMar>
              <w:top w:w="15" w:type="dxa"/>
              <w:left w:w="15" w:type="dxa"/>
              <w:right w:w="15" w:type="dxa"/>
            </w:tcMar>
            <w:vAlign w:val="center"/>
          </w:tcPr>
          <w:p w14:paraId="720151A5">
            <w:pPr>
              <w:widowControl/>
              <w:jc w:val="center"/>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监事</w:t>
            </w:r>
          </w:p>
        </w:tc>
      </w:tr>
      <w:tr w14:paraId="0DE97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0C7E37AE">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20DC7618">
            <w:pPr>
              <w:widowControl/>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董春千</w:t>
            </w:r>
          </w:p>
        </w:tc>
        <w:tc>
          <w:tcPr>
            <w:tcW w:w="3150" w:type="dxa"/>
            <w:tcBorders>
              <w:tl2br w:val="nil"/>
              <w:tr2bl w:val="nil"/>
            </w:tcBorders>
            <w:shd w:val="clear" w:color="auto" w:fill="auto"/>
            <w:tcMar>
              <w:top w:w="15" w:type="dxa"/>
              <w:left w:w="15" w:type="dxa"/>
              <w:right w:w="15" w:type="dxa"/>
            </w:tcMar>
            <w:vAlign w:val="center"/>
          </w:tcPr>
          <w:p w14:paraId="3C346155">
            <w:pPr>
              <w:widowControl/>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职工监事</w:t>
            </w:r>
          </w:p>
        </w:tc>
      </w:tr>
      <w:tr w14:paraId="6D5B5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restart"/>
            <w:tcBorders>
              <w:tl2br w:val="nil"/>
              <w:tr2bl w:val="nil"/>
            </w:tcBorders>
            <w:shd w:val="clear" w:color="auto" w:fill="auto"/>
            <w:tcMar>
              <w:top w:w="15" w:type="dxa"/>
              <w:left w:w="15" w:type="dxa"/>
              <w:right w:w="15" w:type="dxa"/>
            </w:tcMar>
            <w:vAlign w:val="center"/>
          </w:tcPr>
          <w:p w14:paraId="4F330F67">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经理层组成</w:t>
            </w:r>
          </w:p>
        </w:tc>
        <w:tc>
          <w:tcPr>
            <w:tcW w:w="2715" w:type="dxa"/>
            <w:tcBorders>
              <w:tl2br w:val="nil"/>
              <w:tr2bl w:val="nil"/>
            </w:tcBorders>
            <w:shd w:val="clear" w:color="auto" w:fill="auto"/>
            <w:tcMar>
              <w:top w:w="15" w:type="dxa"/>
              <w:left w:w="15" w:type="dxa"/>
              <w:right w:w="15" w:type="dxa"/>
            </w:tcMar>
            <w:vAlign w:val="center"/>
          </w:tcPr>
          <w:p w14:paraId="21A30F49">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姓名</w:t>
            </w:r>
          </w:p>
        </w:tc>
        <w:tc>
          <w:tcPr>
            <w:tcW w:w="3150" w:type="dxa"/>
            <w:tcBorders>
              <w:tl2br w:val="nil"/>
              <w:tr2bl w:val="nil"/>
            </w:tcBorders>
            <w:shd w:val="clear" w:color="auto" w:fill="auto"/>
            <w:tcMar>
              <w:top w:w="15" w:type="dxa"/>
              <w:left w:w="15" w:type="dxa"/>
              <w:right w:w="15" w:type="dxa"/>
            </w:tcMar>
            <w:vAlign w:val="center"/>
          </w:tcPr>
          <w:p w14:paraId="412C3B8F">
            <w:pPr>
              <w:widowControl/>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职务</w:t>
            </w:r>
          </w:p>
        </w:tc>
      </w:tr>
      <w:tr w14:paraId="7A6E7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5F5595C5">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0B31D324">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王炎义</w:t>
            </w:r>
          </w:p>
        </w:tc>
        <w:tc>
          <w:tcPr>
            <w:tcW w:w="3150" w:type="dxa"/>
            <w:tcBorders>
              <w:tl2br w:val="nil"/>
              <w:tr2bl w:val="nil"/>
            </w:tcBorders>
            <w:shd w:val="clear" w:color="auto" w:fill="auto"/>
            <w:tcMar>
              <w:top w:w="15" w:type="dxa"/>
              <w:left w:w="15" w:type="dxa"/>
              <w:right w:w="15" w:type="dxa"/>
            </w:tcMar>
            <w:vAlign w:val="center"/>
          </w:tcPr>
          <w:p w14:paraId="047CA2B2">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总经理</w:t>
            </w:r>
          </w:p>
        </w:tc>
      </w:tr>
      <w:tr w14:paraId="3795C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35F1E9A3">
            <w:pPr>
              <w:jc w:val="center"/>
              <w:rPr>
                <w:rFonts w:ascii="仿宋" w:hAnsi="仿宋" w:eastAsia="仿宋" w:cs="仿宋"/>
                <w:b/>
                <w:color w:val="000000"/>
                <w:sz w:val="28"/>
                <w:szCs w:val="28"/>
              </w:rPr>
            </w:pPr>
          </w:p>
        </w:tc>
        <w:tc>
          <w:tcPr>
            <w:tcW w:w="2715" w:type="dxa"/>
            <w:tcBorders>
              <w:tl2br w:val="nil"/>
              <w:tr2bl w:val="nil"/>
            </w:tcBorders>
            <w:shd w:val="clear" w:color="auto" w:fill="auto"/>
            <w:tcMar>
              <w:top w:w="15" w:type="dxa"/>
              <w:left w:w="15" w:type="dxa"/>
              <w:right w:w="15" w:type="dxa"/>
            </w:tcMar>
            <w:vAlign w:val="center"/>
          </w:tcPr>
          <w:p w14:paraId="4C045D56">
            <w:pPr>
              <w:widowControl/>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于世玮</w:t>
            </w:r>
          </w:p>
        </w:tc>
        <w:tc>
          <w:tcPr>
            <w:tcW w:w="3150" w:type="dxa"/>
            <w:tcBorders>
              <w:tl2br w:val="nil"/>
              <w:tr2bl w:val="nil"/>
            </w:tcBorders>
            <w:shd w:val="clear" w:color="auto" w:fill="auto"/>
            <w:tcMar>
              <w:top w:w="15" w:type="dxa"/>
              <w:left w:w="15" w:type="dxa"/>
              <w:right w:w="15" w:type="dxa"/>
            </w:tcMar>
            <w:vAlign w:val="center"/>
          </w:tcPr>
          <w:p w14:paraId="6911FE6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副总经理</w:t>
            </w:r>
          </w:p>
        </w:tc>
      </w:tr>
    </w:tbl>
    <w:p w14:paraId="791B6CD1">
      <w:pPr>
        <w:autoSpaceDE w:val="0"/>
        <w:autoSpaceDN w:val="0"/>
        <w:adjustRightInd w:val="0"/>
        <w:snapToGrid w:val="0"/>
        <w:spacing w:line="600" w:lineRule="exact"/>
        <w:ind w:right="13" w:rightChars="6" w:firstLine="645"/>
        <w:rPr>
          <w:rFonts w:ascii="黑体" w:hAnsi="黑体" w:eastAsia="黑体" w:cs="黑体"/>
          <w:color w:val="000000"/>
          <w:kern w:val="0"/>
          <w:sz w:val="32"/>
          <w:szCs w:val="32"/>
        </w:rPr>
      </w:pPr>
      <w:r>
        <w:rPr>
          <w:rFonts w:hint="eastAsia" w:ascii="黑体" w:hAnsi="黑体" w:eastAsia="黑体" w:cs="黑体"/>
          <w:color w:val="000000"/>
          <w:kern w:val="0"/>
          <w:sz w:val="32"/>
          <w:szCs w:val="32"/>
        </w:rPr>
        <w:t>二、主要会计数据和财务指标情况</w:t>
      </w:r>
    </w:p>
    <w:tbl>
      <w:tblPr>
        <w:tblStyle w:val="5"/>
        <w:tblW w:w="7463" w:type="dxa"/>
        <w:jc w:val="center"/>
        <w:tblLayout w:type="fixed"/>
        <w:tblCellMar>
          <w:top w:w="0" w:type="dxa"/>
          <w:left w:w="108" w:type="dxa"/>
          <w:bottom w:w="0" w:type="dxa"/>
          <w:right w:w="108" w:type="dxa"/>
        </w:tblCellMar>
      </w:tblPr>
      <w:tblGrid>
        <w:gridCol w:w="3563"/>
        <w:gridCol w:w="3900"/>
      </w:tblGrid>
      <w:tr w14:paraId="63907335">
        <w:tblPrEx>
          <w:tblCellMar>
            <w:top w:w="0" w:type="dxa"/>
            <w:left w:w="108" w:type="dxa"/>
            <w:bottom w:w="0" w:type="dxa"/>
            <w:right w:w="108" w:type="dxa"/>
          </w:tblCellMar>
        </w:tblPrEx>
        <w:trPr>
          <w:trHeight w:val="600" w:hRule="atLeast"/>
          <w:jc w:val="center"/>
        </w:trPr>
        <w:tc>
          <w:tcPr>
            <w:tcW w:w="3563" w:type="dxa"/>
            <w:tcBorders>
              <w:top w:val="single" w:color="auto" w:sz="8" w:space="0"/>
              <w:left w:val="single" w:color="auto" w:sz="8" w:space="0"/>
              <w:bottom w:val="single" w:color="auto" w:sz="8" w:space="0"/>
              <w:right w:val="single" w:color="auto" w:sz="8" w:space="0"/>
            </w:tcBorders>
            <w:shd w:val="clear" w:color="auto" w:fill="auto"/>
            <w:vAlign w:val="center"/>
          </w:tcPr>
          <w:p w14:paraId="76EDE0A0">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仿宋_GB2312" w:hAnsi="黑体" w:eastAsia="仿宋_GB2312"/>
                <w:b/>
                <w:bCs/>
                <w:sz w:val="32"/>
                <w:szCs w:val="28"/>
              </w:rPr>
            </w:pPr>
            <w:r>
              <w:rPr>
                <w:rFonts w:hint="eastAsia" w:ascii="仿宋_GB2312" w:hAnsi="黑体" w:eastAsia="仿宋_GB2312"/>
                <w:b/>
                <w:bCs/>
                <w:sz w:val="32"/>
                <w:szCs w:val="28"/>
              </w:rPr>
              <w:t>项目</w:t>
            </w:r>
          </w:p>
        </w:tc>
        <w:tc>
          <w:tcPr>
            <w:tcW w:w="3900" w:type="dxa"/>
            <w:tcBorders>
              <w:top w:val="single" w:color="auto" w:sz="8" w:space="0"/>
              <w:left w:val="nil"/>
              <w:bottom w:val="single" w:color="auto" w:sz="8" w:space="0"/>
              <w:right w:val="single" w:color="auto" w:sz="8" w:space="0"/>
            </w:tcBorders>
            <w:shd w:val="clear" w:color="auto" w:fill="auto"/>
            <w:vAlign w:val="center"/>
          </w:tcPr>
          <w:p w14:paraId="5761F9B0">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仿宋_GB2312" w:hAnsi="黑体" w:eastAsia="仿宋_GB2312"/>
                <w:b/>
                <w:bCs/>
                <w:sz w:val="32"/>
                <w:szCs w:val="28"/>
              </w:rPr>
            </w:pPr>
            <w:r>
              <w:rPr>
                <w:rFonts w:hint="eastAsia" w:ascii="仿宋_GB2312" w:hAnsi="黑体" w:eastAsia="仿宋_GB2312"/>
                <w:b/>
                <w:bCs/>
                <w:sz w:val="32"/>
                <w:szCs w:val="28"/>
              </w:rPr>
              <w:t>202</w:t>
            </w:r>
            <w:r>
              <w:rPr>
                <w:rFonts w:hint="eastAsia" w:ascii="仿宋_GB2312" w:hAnsi="黑体" w:eastAsia="仿宋_GB2312"/>
                <w:b/>
                <w:bCs/>
                <w:sz w:val="32"/>
                <w:szCs w:val="28"/>
                <w:lang w:val="en-US" w:eastAsia="zh-CN"/>
              </w:rPr>
              <w:t>4</w:t>
            </w:r>
            <w:r>
              <w:rPr>
                <w:rFonts w:hint="eastAsia" w:ascii="仿宋_GB2312" w:hAnsi="黑体" w:eastAsia="仿宋_GB2312"/>
                <w:b/>
                <w:bCs/>
                <w:sz w:val="32"/>
                <w:szCs w:val="28"/>
              </w:rPr>
              <w:t>年度情况</w:t>
            </w:r>
          </w:p>
        </w:tc>
      </w:tr>
      <w:tr w14:paraId="5068750A">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3489F46B">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 xml:space="preserve">营业收入 </w:t>
            </w:r>
          </w:p>
        </w:tc>
        <w:tc>
          <w:tcPr>
            <w:tcW w:w="3900" w:type="dxa"/>
            <w:tcBorders>
              <w:top w:val="nil"/>
              <w:left w:val="nil"/>
              <w:bottom w:val="single" w:color="auto" w:sz="8" w:space="0"/>
              <w:right w:val="single" w:color="auto" w:sz="8" w:space="0"/>
            </w:tcBorders>
            <w:shd w:val="clear" w:color="auto" w:fill="auto"/>
            <w:vAlign w:val="center"/>
          </w:tcPr>
          <w:p w14:paraId="7F215035">
            <w:pPr>
              <w:jc w:val="center"/>
              <w:rPr>
                <w:rFonts w:hint="default" w:ascii="仿宋_GB2312" w:hAnsi="等线" w:eastAsia="仿宋_GB2312" w:cs="宋体"/>
                <w:color w:val="000000"/>
                <w:kern w:val="0"/>
                <w:sz w:val="32"/>
                <w:szCs w:val="32"/>
                <w:lang w:val="en-US" w:eastAsia="zh-CN" w:bidi="ar-SA"/>
              </w:rPr>
            </w:pPr>
            <w:r>
              <w:rPr>
                <w:rFonts w:hint="eastAsia" w:ascii="仿宋_GB2312" w:hAnsi="等线" w:eastAsia="仿宋_GB2312" w:cs="宋体"/>
                <w:color w:val="000000"/>
                <w:kern w:val="0"/>
                <w:sz w:val="32"/>
                <w:szCs w:val="32"/>
                <w:lang w:val="en-US" w:eastAsia="zh-CN"/>
              </w:rPr>
              <w:t>1,</w:t>
            </w:r>
            <w:bookmarkStart w:id="3" w:name="_GoBack"/>
            <w:bookmarkEnd w:id="3"/>
            <w:r>
              <w:rPr>
                <w:rFonts w:hint="eastAsia" w:ascii="仿宋_GB2312" w:hAnsi="等线" w:eastAsia="仿宋_GB2312" w:cs="宋体"/>
                <w:color w:val="000000"/>
                <w:kern w:val="0"/>
                <w:sz w:val="32"/>
                <w:szCs w:val="32"/>
                <w:lang w:val="en-US" w:eastAsia="zh-CN"/>
              </w:rPr>
              <w:t>202</w:t>
            </w:r>
          </w:p>
        </w:tc>
      </w:tr>
      <w:tr w14:paraId="20FB470E">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63AD6E72">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营业成本</w:t>
            </w:r>
          </w:p>
        </w:tc>
        <w:tc>
          <w:tcPr>
            <w:tcW w:w="3900" w:type="dxa"/>
            <w:tcBorders>
              <w:top w:val="nil"/>
              <w:left w:val="nil"/>
              <w:bottom w:val="single" w:color="auto" w:sz="8" w:space="0"/>
              <w:right w:val="single" w:color="auto" w:sz="8" w:space="0"/>
            </w:tcBorders>
            <w:shd w:val="clear" w:color="auto" w:fill="auto"/>
            <w:vAlign w:val="center"/>
          </w:tcPr>
          <w:p w14:paraId="10D8C458">
            <w:pPr>
              <w:jc w:val="center"/>
              <w:rPr>
                <w:rFonts w:hint="default" w:ascii="仿宋_GB2312" w:hAnsi="等线" w:eastAsia="仿宋_GB2312" w:cs="宋体"/>
                <w:color w:val="000000"/>
                <w:kern w:val="0"/>
                <w:sz w:val="32"/>
                <w:szCs w:val="32"/>
                <w:lang w:val="en-US" w:eastAsia="zh-CN" w:bidi="ar-SA"/>
              </w:rPr>
            </w:pPr>
            <w:r>
              <w:rPr>
                <w:rFonts w:hint="eastAsia" w:ascii="仿宋_GB2312" w:hAnsi="等线" w:eastAsia="仿宋_GB2312" w:cs="宋体"/>
                <w:color w:val="000000"/>
                <w:kern w:val="0"/>
                <w:sz w:val="32"/>
                <w:szCs w:val="32"/>
                <w:lang w:val="en-US" w:eastAsia="zh-CN"/>
              </w:rPr>
              <w:t>3,612</w:t>
            </w:r>
          </w:p>
        </w:tc>
      </w:tr>
      <w:tr w14:paraId="74CCC92A">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236D1293">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销售费用</w:t>
            </w:r>
          </w:p>
        </w:tc>
        <w:tc>
          <w:tcPr>
            <w:tcW w:w="3900" w:type="dxa"/>
            <w:tcBorders>
              <w:top w:val="nil"/>
              <w:left w:val="nil"/>
              <w:bottom w:val="single" w:color="auto" w:sz="8" w:space="0"/>
              <w:right w:val="single" w:color="auto" w:sz="8" w:space="0"/>
            </w:tcBorders>
            <w:shd w:val="clear" w:color="auto" w:fill="auto"/>
            <w:vAlign w:val="center"/>
          </w:tcPr>
          <w:p w14:paraId="02D50CD4">
            <w:pPr>
              <w:jc w:val="center"/>
              <w:rPr>
                <w:rFonts w:hint="eastAsia" w:ascii="仿宋_GB2312" w:hAnsi="等线" w:eastAsia="仿宋_GB2312" w:cs="宋体"/>
                <w:color w:val="000000"/>
                <w:kern w:val="0"/>
                <w:sz w:val="32"/>
                <w:szCs w:val="32"/>
                <w:lang w:val="en-US" w:eastAsia="zh-CN" w:bidi="ar-SA"/>
              </w:rPr>
            </w:pPr>
          </w:p>
        </w:tc>
      </w:tr>
      <w:tr w14:paraId="03CDBBB8">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7768F073">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管理费用</w:t>
            </w:r>
          </w:p>
        </w:tc>
        <w:tc>
          <w:tcPr>
            <w:tcW w:w="3900" w:type="dxa"/>
            <w:tcBorders>
              <w:top w:val="nil"/>
              <w:left w:val="nil"/>
              <w:bottom w:val="single" w:color="auto" w:sz="8" w:space="0"/>
              <w:right w:val="single" w:color="auto" w:sz="8" w:space="0"/>
            </w:tcBorders>
            <w:shd w:val="clear" w:color="auto" w:fill="auto"/>
            <w:vAlign w:val="center"/>
          </w:tcPr>
          <w:p w14:paraId="73074FA0">
            <w:pPr>
              <w:jc w:val="center"/>
              <w:rPr>
                <w:rFonts w:hint="default" w:ascii="仿宋_GB2312" w:hAnsi="等线" w:eastAsia="仿宋_GB2312" w:cs="宋体"/>
                <w:color w:val="000000"/>
                <w:kern w:val="0"/>
                <w:sz w:val="32"/>
                <w:szCs w:val="32"/>
                <w:lang w:val="en-US" w:eastAsia="zh-CN" w:bidi="ar-SA"/>
              </w:rPr>
            </w:pPr>
            <w:r>
              <w:rPr>
                <w:rFonts w:hint="eastAsia" w:ascii="仿宋_GB2312" w:hAnsi="等线" w:eastAsia="仿宋_GB2312" w:cs="宋体"/>
                <w:color w:val="000000"/>
                <w:kern w:val="0"/>
                <w:sz w:val="32"/>
                <w:szCs w:val="32"/>
                <w:lang w:val="en-US" w:eastAsia="zh-CN"/>
              </w:rPr>
              <w:t>2</w:t>
            </w:r>
          </w:p>
        </w:tc>
      </w:tr>
      <w:tr w14:paraId="786C7A93">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79CE8012">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财务费用</w:t>
            </w:r>
          </w:p>
        </w:tc>
        <w:tc>
          <w:tcPr>
            <w:tcW w:w="3900" w:type="dxa"/>
            <w:tcBorders>
              <w:top w:val="nil"/>
              <w:left w:val="nil"/>
              <w:bottom w:val="single" w:color="auto" w:sz="8" w:space="0"/>
              <w:right w:val="single" w:color="auto" w:sz="8" w:space="0"/>
            </w:tcBorders>
            <w:shd w:val="clear" w:color="auto" w:fill="auto"/>
            <w:vAlign w:val="center"/>
          </w:tcPr>
          <w:p w14:paraId="3C0CAC5B">
            <w:pPr>
              <w:jc w:val="center"/>
              <w:rPr>
                <w:rFonts w:hint="default" w:ascii="仿宋_GB2312" w:hAnsi="等线" w:eastAsia="仿宋_GB2312" w:cs="宋体"/>
                <w:color w:val="000000"/>
                <w:kern w:val="0"/>
                <w:sz w:val="32"/>
                <w:szCs w:val="32"/>
                <w:lang w:val="en-US" w:eastAsia="zh-CN" w:bidi="ar-SA"/>
              </w:rPr>
            </w:pPr>
            <w:r>
              <w:rPr>
                <w:rFonts w:hint="eastAsia" w:ascii="仿宋_GB2312" w:hAnsi="等线" w:eastAsia="仿宋_GB2312" w:cs="宋体"/>
                <w:color w:val="000000"/>
                <w:kern w:val="0"/>
                <w:sz w:val="32"/>
                <w:szCs w:val="32"/>
                <w:lang w:val="en-US" w:eastAsia="zh-CN"/>
              </w:rPr>
              <w:t>1,534</w:t>
            </w:r>
          </w:p>
        </w:tc>
      </w:tr>
      <w:tr w14:paraId="60014062">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31FA69FC">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营业利润</w:t>
            </w:r>
          </w:p>
        </w:tc>
        <w:tc>
          <w:tcPr>
            <w:tcW w:w="3900" w:type="dxa"/>
            <w:tcBorders>
              <w:top w:val="nil"/>
              <w:left w:val="nil"/>
              <w:bottom w:val="single" w:color="auto" w:sz="8" w:space="0"/>
              <w:right w:val="single" w:color="auto" w:sz="8" w:space="0"/>
            </w:tcBorders>
            <w:shd w:val="clear" w:color="auto" w:fill="auto"/>
            <w:vAlign w:val="center"/>
          </w:tcPr>
          <w:p w14:paraId="2D8271A3">
            <w:pPr>
              <w:jc w:val="center"/>
              <w:rPr>
                <w:rFonts w:hint="default" w:ascii="仿宋_GB2312" w:hAnsi="等线" w:eastAsia="仿宋_GB2312" w:cs="宋体"/>
                <w:color w:val="000000"/>
                <w:kern w:val="0"/>
                <w:sz w:val="32"/>
                <w:szCs w:val="32"/>
                <w:lang w:val="en-US" w:eastAsia="zh-CN" w:bidi="ar-SA"/>
              </w:rPr>
            </w:pPr>
            <w:r>
              <w:rPr>
                <w:rFonts w:hint="eastAsia" w:ascii="仿宋_GB2312" w:hAnsi="等线" w:eastAsia="仿宋_GB2312" w:cs="宋体"/>
                <w:color w:val="000000"/>
                <w:kern w:val="0"/>
                <w:sz w:val="32"/>
                <w:szCs w:val="32"/>
                <w:lang w:val="en-US" w:eastAsia="zh-CN"/>
              </w:rPr>
              <w:t>-2,360</w:t>
            </w:r>
          </w:p>
        </w:tc>
      </w:tr>
      <w:tr w14:paraId="5CFB5C18">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6B894D74">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利润总额</w:t>
            </w:r>
          </w:p>
        </w:tc>
        <w:tc>
          <w:tcPr>
            <w:tcW w:w="3900" w:type="dxa"/>
            <w:tcBorders>
              <w:top w:val="nil"/>
              <w:left w:val="nil"/>
              <w:bottom w:val="single" w:color="auto" w:sz="8" w:space="0"/>
              <w:right w:val="single" w:color="auto" w:sz="8" w:space="0"/>
            </w:tcBorders>
            <w:shd w:val="clear" w:color="auto" w:fill="auto"/>
            <w:vAlign w:val="center"/>
          </w:tcPr>
          <w:p w14:paraId="724C7A01">
            <w:pPr>
              <w:jc w:val="center"/>
              <w:rPr>
                <w:rFonts w:hint="default" w:ascii="仿宋_GB2312" w:hAnsi="等线" w:eastAsia="仿宋_GB2312" w:cs="宋体"/>
                <w:color w:val="000000"/>
                <w:kern w:val="0"/>
                <w:sz w:val="32"/>
                <w:szCs w:val="32"/>
                <w:lang w:val="en-US" w:eastAsia="zh-CN" w:bidi="ar-SA"/>
              </w:rPr>
            </w:pPr>
            <w:r>
              <w:rPr>
                <w:rFonts w:hint="eastAsia" w:ascii="仿宋_GB2312" w:hAnsi="等线" w:eastAsia="仿宋_GB2312" w:cs="宋体"/>
                <w:color w:val="000000"/>
                <w:kern w:val="0"/>
                <w:sz w:val="32"/>
                <w:szCs w:val="32"/>
                <w:lang w:val="en-US" w:eastAsia="zh-CN"/>
              </w:rPr>
              <w:t>-2,455</w:t>
            </w:r>
          </w:p>
        </w:tc>
      </w:tr>
      <w:tr w14:paraId="2AC43145">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761B7EB6">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净利润</w:t>
            </w:r>
          </w:p>
        </w:tc>
        <w:tc>
          <w:tcPr>
            <w:tcW w:w="3900" w:type="dxa"/>
            <w:tcBorders>
              <w:top w:val="nil"/>
              <w:left w:val="nil"/>
              <w:bottom w:val="single" w:color="auto" w:sz="8" w:space="0"/>
              <w:right w:val="single" w:color="auto" w:sz="8" w:space="0"/>
            </w:tcBorders>
            <w:shd w:val="clear" w:color="auto" w:fill="auto"/>
            <w:vAlign w:val="center"/>
          </w:tcPr>
          <w:p w14:paraId="55EA4294">
            <w:pPr>
              <w:jc w:val="center"/>
              <w:rPr>
                <w:rFonts w:hint="default" w:ascii="仿宋_GB2312" w:hAnsi="等线" w:eastAsia="仿宋_GB2312" w:cs="宋体"/>
                <w:color w:val="000000"/>
                <w:kern w:val="0"/>
                <w:sz w:val="32"/>
                <w:szCs w:val="32"/>
                <w:lang w:val="en-US" w:eastAsia="zh-CN" w:bidi="ar-SA"/>
              </w:rPr>
            </w:pPr>
            <w:r>
              <w:rPr>
                <w:rFonts w:hint="eastAsia" w:ascii="仿宋_GB2312" w:hAnsi="等线" w:eastAsia="仿宋_GB2312" w:cs="宋体"/>
                <w:color w:val="000000"/>
                <w:kern w:val="0"/>
                <w:sz w:val="32"/>
                <w:szCs w:val="32"/>
                <w:lang w:val="en-US" w:eastAsia="zh-CN"/>
              </w:rPr>
              <w:t>-2,455</w:t>
            </w:r>
          </w:p>
        </w:tc>
      </w:tr>
      <w:tr w14:paraId="348C1A66">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39A59E89">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营业利润率</w:t>
            </w:r>
          </w:p>
        </w:tc>
        <w:tc>
          <w:tcPr>
            <w:tcW w:w="3900" w:type="dxa"/>
            <w:tcBorders>
              <w:top w:val="nil"/>
              <w:left w:val="nil"/>
              <w:bottom w:val="single" w:color="auto" w:sz="8" w:space="0"/>
              <w:right w:val="single" w:color="auto" w:sz="8" w:space="0"/>
            </w:tcBorders>
            <w:shd w:val="clear" w:color="auto" w:fill="auto"/>
            <w:vAlign w:val="center"/>
          </w:tcPr>
          <w:p w14:paraId="40D0932B">
            <w:pPr>
              <w:jc w:val="center"/>
              <w:rPr>
                <w:rFonts w:hint="default" w:ascii="仿宋_GB2312" w:hAnsi="等线" w:eastAsia="仿宋_GB2312" w:cs="宋体"/>
                <w:color w:val="000000"/>
                <w:kern w:val="0"/>
                <w:sz w:val="32"/>
                <w:szCs w:val="32"/>
                <w:lang w:val="en-US" w:eastAsia="zh-CN" w:bidi="ar-SA"/>
              </w:rPr>
            </w:pPr>
            <w:r>
              <w:rPr>
                <w:rFonts w:hint="eastAsia" w:ascii="仿宋_GB2312" w:hAnsi="等线" w:eastAsia="仿宋_GB2312" w:cs="宋体"/>
                <w:color w:val="000000"/>
                <w:kern w:val="0"/>
                <w:sz w:val="32"/>
                <w:szCs w:val="32"/>
                <w:lang w:val="en-US" w:eastAsia="zh-CN"/>
              </w:rPr>
              <w:t>-196.34%</w:t>
            </w:r>
          </w:p>
        </w:tc>
      </w:tr>
      <w:tr w14:paraId="57684FCF">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63087AC3">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净资产收益率</w:t>
            </w:r>
          </w:p>
        </w:tc>
        <w:tc>
          <w:tcPr>
            <w:tcW w:w="3900" w:type="dxa"/>
            <w:tcBorders>
              <w:top w:val="nil"/>
              <w:left w:val="nil"/>
              <w:bottom w:val="single" w:color="auto" w:sz="8" w:space="0"/>
              <w:right w:val="single" w:color="auto" w:sz="8" w:space="0"/>
            </w:tcBorders>
            <w:shd w:val="clear" w:color="auto" w:fill="auto"/>
            <w:vAlign w:val="center"/>
          </w:tcPr>
          <w:p w14:paraId="03B73020">
            <w:pPr>
              <w:jc w:val="center"/>
              <w:rPr>
                <w:rFonts w:hint="default" w:ascii="仿宋_GB2312" w:hAnsi="等线" w:eastAsia="仿宋_GB2312" w:cs="宋体"/>
                <w:color w:val="000000"/>
                <w:kern w:val="0"/>
                <w:sz w:val="32"/>
                <w:szCs w:val="32"/>
                <w:lang w:val="en-US" w:eastAsia="zh-CN" w:bidi="ar-SA"/>
              </w:rPr>
            </w:pPr>
            <w:r>
              <w:rPr>
                <w:rFonts w:hint="eastAsia" w:ascii="仿宋_GB2312" w:hAnsi="等线" w:eastAsia="仿宋_GB2312" w:cs="宋体"/>
                <w:color w:val="000000"/>
                <w:kern w:val="0"/>
                <w:sz w:val="32"/>
                <w:szCs w:val="32"/>
                <w:lang w:val="en-US" w:eastAsia="zh-CN"/>
              </w:rPr>
              <w:t>-14.51%</w:t>
            </w:r>
          </w:p>
        </w:tc>
      </w:tr>
      <w:tr w14:paraId="29C79388">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6BEE4723">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已交税费总额</w:t>
            </w:r>
          </w:p>
        </w:tc>
        <w:tc>
          <w:tcPr>
            <w:tcW w:w="3900" w:type="dxa"/>
            <w:tcBorders>
              <w:top w:val="nil"/>
              <w:left w:val="nil"/>
              <w:bottom w:val="single" w:color="auto" w:sz="8" w:space="0"/>
              <w:right w:val="single" w:color="auto" w:sz="8" w:space="0"/>
            </w:tcBorders>
            <w:shd w:val="clear" w:color="auto" w:fill="auto"/>
            <w:vAlign w:val="center"/>
          </w:tcPr>
          <w:p w14:paraId="26091D42">
            <w:pPr>
              <w:jc w:val="center"/>
              <w:rPr>
                <w:rFonts w:hint="default" w:ascii="仿宋_GB2312" w:hAnsi="等线" w:eastAsia="仿宋_GB2312" w:cs="宋体"/>
                <w:color w:val="000000"/>
                <w:kern w:val="0"/>
                <w:szCs w:val="21"/>
                <w:lang w:val="en-US" w:eastAsia="zh-CN"/>
              </w:rPr>
            </w:pPr>
            <w:r>
              <w:rPr>
                <w:rFonts w:hint="eastAsia" w:ascii="仿宋_GB2312" w:hAnsi="等线" w:eastAsia="仿宋_GB2312" w:cs="宋体"/>
                <w:color w:val="000000"/>
                <w:kern w:val="0"/>
                <w:sz w:val="32"/>
                <w:szCs w:val="32"/>
                <w:lang w:val="en-US" w:eastAsia="zh-CN"/>
              </w:rPr>
              <w:t>1.26</w:t>
            </w:r>
          </w:p>
        </w:tc>
      </w:tr>
      <w:tr w14:paraId="1EBEAE58">
        <w:tblPrEx>
          <w:tblCellMar>
            <w:top w:w="0" w:type="dxa"/>
            <w:left w:w="108" w:type="dxa"/>
            <w:bottom w:w="0" w:type="dxa"/>
            <w:right w:w="108" w:type="dxa"/>
          </w:tblCellMar>
        </w:tblPrEx>
        <w:trPr>
          <w:trHeight w:val="600" w:hRule="atLeast"/>
          <w:jc w:val="center"/>
        </w:trPr>
        <w:tc>
          <w:tcPr>
            <w:tcW w:w="3563" w:type="dxa"/>
            <w:tcBorders>
              <w:top w:val="nil"/>
              <w:left w:val="nil"/>
              <w:bottom w:val="nil"/>
              <w:right w:val="nil"/>
            </w:tcBorders>
            <w:shd w:val="clear" w:color="auto" w:fill="auto"/>
            <w:noWrap/>
            <w:vAlign w:val="center"/>
          </w:tcPr>
          <w:p w14:paraId="513D2601">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 xml:space="preserve"> </w:t>
            </w:r>
          </w:p>
        </w:tc>
        <w:tc>
          <w:tcPr>
            <w:tcW w:w="3900" w:type="dxa"/>
            <w:tcBorders>
              <w:top w:val="nil"/>
              <w:left w:val="nil"/>
              <w:bottom w:val="nil"/>
              <w:right w:val="nil"/>
            </w:tcBorders>
            <w:shd w:val="clear" w:color="auto" w:fill="auto"/>
            <w:noWrap/>
            <w:vAlign w:val="center"/>
          </w:tcPr>
          <w:p w14:paraId="53405E1B">
            <w:pPr>
              <w:widowControl/>
              <w:jc w:val="center"/>
              <w:rPr>
                <w:rFonts w:ascii="仿宋_GB2312" w:hAnsi="等线" w:eastAsia="仿宋_GB2312" w:cs="宋体"/>
                <w:color w:val="000000"/>
                <w:kern w:val="0"/>
                <w:szCs w:val="21"/>
              </w:rPr>
            </w:pPr>
          </w:p>
        </w:tc>
      </w:tr>
      <w:tr w14:paraId="748DB1C3">
        <w:tblPrEx>
          <w:tblCellMar>
            <w:top w:w="0" w:type="dxa"/>
            <w:left w:w="108" w:type="dxa"/>
            <w:bottom w:w="0" w:type="dxa"/>
            <w:right w:w="108" w:type="dxa"/>
          </w:tblCellMar>
        </w:tblPrEx>
        <w:trPr>
          <w:trHeight w:val="600" w:hRule="atLeast"/>
          <w:jc w:val="center"/>
        </w:trPr>
        <w:tc>
          <w:tcPr>
            <w:tcW w:w="3563" w:type="dxa"/>
            <w:tcBorders>
              <w:top w:val="single" w:color="auto" w:sz="8" w:space="0"/>
              <w:left w:val="single" w:color="auto" w:sz="8" w:space="0"/>
              <w:bottom w:val="single" w:color="auto" w:sz="8" w:space="0"/>
              <w:right w:val="single" w:color="auto" w:sz="8" w:space="0"/>
            </w:tcBorders>
            <w:shd w:val="clear" w:color="auto" w:fill="auto"/>
            <w:vAlign w:val="center"/>
          </w:tcPr>
          <w:p w14:paraId="09464FB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黑体" w:eastAsia="仿宋_GB2312"/>
                <w:b/>
                <w:bCs/>
                <w:sz w:val="32"/>
                <w:szCs w:val="28"/>
              </w:rPr>
            </w:pPr>
            <w:r>
              <w:rPr>
                <w:rFonts w:hint="eastAsia" w:ascii="仿宋_GB2312" w:hAnsi="黑体" w:eastAsia="仿宋_GB2312"/>
                <w:b/>
                <w:bCs/>
                <w:sz w:val="32"/>
                <w:szCs w:val="28"/>
              </w:rPr>
              <w:t>项目</w:t>
            </w:r>
          </w:p>
        </w:tc>
        <w:tc>
          <w:tcPr>
            <w:tcW w:w="3900" w:type="dxa"/>
            <w:tcBorders>
              <w:top w:val="single" w:color="auto" w:sz="8" w:space="0"/>
              <w:left w:val="nil"/>
              <w:bottom w:val="single" w:color="auto" w:sz="8" w:space="0"/>
              <w:right w:val="single" w:color="auto" w:sz="8" w:space="0"/>
            </w:tcBorders>
            <w:shd w:val="clear" w:color="auto" w:fill="auto"/>
            <w:vAlign w:val="center"/>
          </w:tcPr>
          <w:p w14:paraId="18FD86A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黑体" w:eastAsia="仿宋_GB2312"/>
                <w:b/>
                <w:bCs/>
                <w:sz w:val="32"/>
                <w:szCs w:val="28"/>
              </w:rPr>
            </w:pPr>
            <w:r>
              <w:rPr>
                <w:rFonts w:hint="eastAsia" w:ascii="仿宋_GB2312" w:hAnsi="黑体" w:eastAsia="仿宋_GB2312"/>
                <w:b/>
                <w:bCs/>
                <w:sz w:val="32"/>
                <w:szCs w:val="28"/>
              </w:rPr>
              <w:t>期末余额</w:t>
            </w:r>
          </w:p>
        </w:tc>
      </w:tr>
      <w:tr w14:paraId="3676A41D">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492896C0">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资产总额</w:t>
            </w:r>
          </w:p>
        </w:tc>
        <w:tc>
          <w:tcPr>
            <w:tcW w:w="3900" w:type="dxa"/>
            <w:tcBorders>
              <w:top w:val="nil"/>
              <w:left w:val="nil"/>
              <w:bottom w:val="single" w:color="auto" w:sz="8" w:space="0"/>
              <w:right w:val="single" w:color="auto" w:sz="8" w:space="0"/>
            </w:tcBorders>
            <w:shd w:val="clear" w:color="auto" w:fill="auto"/>
            <w:vAlign w:val="center"/>
          </w:tcPr>
          <w:p w14:paraId="71ABE084">
            <w:pPr>
              <w:jc w:val="center"/>
              <w:rPr>
                <w:rFonts w:hint="eastAsia" w:ascii="仿宋_GB2312" w:hAnsi="等线" w:eastAsia="仿宋_GB2312" w:cs="宋体"/>
                <w:color w:val="000000"/>
                <w:kern w:val="0"/>
                <w:sz w:val="32"/>
                <w:szCs w:val="32"/>
                <w:lang w:val="en-US" w:eastAsia="zh-CN" w:bidi="ar-SA"/>
              </w:rPr>
            </w:pPr>
            <w:r>
              <w:rPr>
                <w:rFonts w:hint="eastAsia" w:ascii="仿宋_GB2312" w:hAnsi="等线" w:eastAsia="仿宋_GB2312" w:cs="宋体"/>
                <w:color w:val="000000"/>
                <w:kern w:val="0"/>
                <w:sz w:val="32"/>
                <w:szCs w:val="32"/>
                <w:lang w:val="en-US" w:eastAsia="zh-CN"/>
              </w:rPr>
              <w:t>63,032.46</w:t>
            </w:r>
          </w:p>
        </w:tc>
      </w:tr>
      <w:tr w14:paraId="74299872">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2A5213BA">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负债总额</w:t>
            </w:r>
          </w:p>
        </w:tc>
        <w:tc>
          <w:tcPr>
            <w:tcW w:w="3900" w:type="dxa"/>
            <w:tcBorders>
              <w:top w:val="nil"/>
              <w:left w:val="nil"/>
              <w:bottom w:val="single" w:color="auto" w:sz="8" w:space="0"/>
              <w:right w:val="single" w:color="auto" w:sz="8" w:space="0"/>
            </w:tcBorders>
            <w:shd w:val="clear" w:color="auto" w:fill="auto"/>
            <w:vAlign w:val="center"/>
          </w:tcPr>
          <w:p w14:paraId="026D4861">
            <w:pPr>
              <w:jc w:val="center"/>
              <w:rPr>
                <w:rFonts w:hint="eastAsia" w:ascii="仿宋_GB2312" w:hAnsi="等线" w:eastAsia="仿宋_GB2312" w:cs="宋体"/>
                <w:color w:val="000000"/>
                <w:kern w:val="0"/>
                <w:sz w:val="32"/>
                <w:szCs w:val="32"/>
                <w:lang w:val="en-US" w:eastAsia="zh-CN" w:bidi="ar-SA"/>
              </w:rPr>
            </w:pPr>
            <w:r>
              <w:rPr>
                <w:rFonts w:hint="eastAsia" w:ascii="仿宋_GB2312" w:hAnsi="等线" w:eastAsia="仿宋_GB2312" w:cs="宋体"/>
                <w:color w:val="000000"/>
                <w:kern w:val="0"/>
                <w:sz w:val="32"/>
                <w:szCs w:val="32"/>
                <w:lang w:val="en-US" w:eastAsia="zh-CN"/>
              </w:rPr>
              <w:t>47,336.39</w:t>
            </w:r>
          </w:p>
        </w:tc>
      </w:tr>
      <w:tr w14:paraId="1FEC5C22">
        <w:tblPrEx>
          <w:tblCellMar>
            <w:top w:w="0" w:type="dxa"/>
            <w:left w:w="108" w:type="dxa"/>
            <w:bottom w:w="0" w:type="dxa"/>
            <w:right w:w="108" w:type="dxa"/>
          </w:tblCellMar>
        </w:tblPrEx>
        <w:trPr>
          <w:trHeight w:val="600" w:hRule="atLeast"/>
          <w:jc w:val="center"/>
        </w:trPr>
        <w:tc>
          <w:tcPr>
            <w:tcW w:w="3563" w:type="dxa"/>
            <w:tcBorders>
              <w:top w:val="nil"/>
              <w:left w:val="single" w:color="auto" w:sz="8" w:space="0"/>
              <w:bottom w:val="single" w:color="auto" w:sz="8" w:space="0"/>
              <w:right w:val="single" w:color="auto" w:sz="8" w:space="0"/>
            </w:tcBorders>
            <w:shd w:val="clear" w:color="auto" w:fill="auto"/>
            <w:vAlign w:val="center"/>
          </w:tcPr>
          <w:p w14:paraId="702D678D">
            <w:pPr>
              <w:snapToGrid w:val="0"/>
              <w:spacing w:line="580" w:lineRule="exact"/>
              <w:ind w:firstLine="640" w:firstLineChars="200"/>
              <w:rPr>
                <w:rFonts w:hint="eastAsia" w:ascii="仿宋_GB2312" w:hAnsi="黑体" w:eastAsia="仿宋_GB2312"/>
                <w:sz w:val="32"/>
                <w:szCs w:val="28"/>
              </w:rPr>
            </w:pPr>
            <w:r>
              <w:rPr>
                <w:rFonts w:hint="eastAsia" w:ascii="仿宋_GB2312" w:hAnsi="黑体" w:eastAsia="仿宋_GB2312"/>
                <w:sz w:val="32"/>
                <w:szCs w:val="28"/>
              </w:rPr>
              <w:t>所有者权益总额</w:t>
            </w:r>
          </w:p>
        </w:tc>
        <w:tc>
          <w:tcPr>
            <w:tcW w:w="3900" w:type="dxa"/>
            <w:tcBorders>
              <w:top w:val="nil"/>
              <w:left w:val="nil"/>
              <w:bottom w:val="single" w:color="auto" w:sz="8" w:space="0"/>
              <w:right w:val="single" w:color="auto" w:sz="8" w:space="0"/>
            </w:tcBorders>
            <w:shd w:val="clear" w:color="auto" w:fill="auto"/>
            <w:vAlign w:val="center"/>
          </w:tcPr>
          <w:p w14:paraId="2DB70925">
            <w:pPr>
              <w:jc w:val="center"/>
              <w:rPr>
                <w:rFonts w:hint="eastAsia" w:ascii="仿宋_GB2312" w:hAnsi="等线" w:eastAsia="仿宋_GB2312" w:cs="宋体"/>
                <w:color w:val="000000"/>
                <w:kern w:val="0"/>
                <w:sz w:val="32"/>
                <w:szCs w:val="32"/>
                <w:lang w:val="en-US" w:eastAsia="zh-CN" w:bidi="ar-SA"/>
              </w:rPr>
            </w:pPr>
            <w:r>
              <w:rPr>
                <w:rFonts w:hint="eastAsia" w:ascii="仿宋_GB2312" w:hAnsi="等线" w:eastAsia="仿宋_GB2312" w:cs="宋体"/>
                <w:color w:val="000000"/>
                <w:kern w:val="0"/>
                <w:sz w:val="32"/>
                <w:szCs w:val="32"/>
                <w:lang w:val="en-US" w:eastAsia="zh-CN"/>
              </w:rPr>
              <w:t>15,696.08</w:t>
            </w:r>
          </w:p>
        </w:tc>
      </w:tr>
    </w:tbl>
    <w:p w14:paraId="2E4560BD">
      <w:pPr>
        <w:rPr>
          <w:rFonts w:ascii="仿宋_GB2312" w:eastAsia="仿宋_GB2312"/>
          <w:szCs w:val="21"/>
        </w:rPr>
      </w:pPr>
    </w:p>
    <w:p w14:paraId="6555B63A">
      <w:pPr>
        <w:autoSpaceDE w:val="0"/>
        <w:autoSpaceDN w:val="0"/>
        <w:adjustRightInd w:val="0"/>
        <w:snapToGrid w:val="0"/>
        <w:spacing w:line="560" w:lineRule="exact"/>
        <w:ind w:right="13" w:rightChars="6"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三、董事会报告摘要</w:t>
      </w:r>
    </w:p>
    <w:p w14:paraId="161F00EC">
      <w:pPr>
        <w:pStyle w:val="14"/>
        <w:numPr>
          <w:ilvl w:val="0"/>
          <w:numId w:val="1"/>
        </w:numPr>
        <w:spacing w:line="580" w:lineRule="exact"/>
        <w:ind w:left="0" w:firstLine="640" w:firstLineChars="0"/>
        <w:contextualSpacing/>
        <w:jc w:val="both"/>
        <w:rPr>
          <w:rFonts w:hAnsi="仿宋_GB2312" w:cs="仿宋_GB2312"/>
          <w:b/>
          <w:sz w:val="32"/>
          <w:szCs w:val="32"/>
          <w:highlight w:val="none"/>
        </w:rPr>
      </w:pPr>
      <w:r>
        <w:rPr>
          <w:rFonts w:hint="eastAsia" w:ascii="楷体_GB2312" w:hAnsi="楷体_GB2312" w:eastAsia="楷体_GB2312" w:cs="楷体_GB2312"/>
          <w:bCs/>
          <w:kern w:val="1"/>
          <w:sz w:val="32"/>
          <w:szCs w:val="32"/>
          <w:highlight w:val="none"/>
        </w:rPr>
        <w:t>拓展运输业务，</w:t>
      </w:r>
      <w:r>
        <w:rPr>
          <w:rFonts w:hint="eastAsia" w:ascii="楷体_GB2312" w:hAnsi="楷体_GB2312" w:eastAsia="楷体_GB2312" w:cs="楷体_GB2312"/>
          <w:bCs/>
          <w:kern w:val="1"/>
          <w:sz w:val="32"/>
          <w:szCs w:val="32"/>
          <w:highlight w:val="none"/>
          <w:lang w:val="en-US" w:eastAsia="zh-CN"/>
        </w:rPr>
        <w:t>努</w:t>
      </w:r>
      <w:r>
        <w:rPr>
          <w:rFonts w:hint="eastAsia" w:ascii="楷体_GB2312" w:hAnsi="楷体_GB2312" w:eastAsia="楷体_GB2312" w:cs="楷体_GB2312"/>
          <w:bCs/>
          <w:kern w:val="1"/>
          <w:sz w:val="32"/>
          <w:szCs w:val="32"/>
          <w:highlight w:val="none"/>
        </w:rPr>
        <w:t>力</w:t>
      </w:r>
      <w:r>
        <w:rPr>
          <w:rFonts w:hint="eastAsia" w:ascii="楷体_GB2312" w:hAnsi="楷体_GB2312" w:eastAsia="楷体_GB2312" w:cs="楷体_GB2312"/>
          <w:bCs/>
          <w:kern w:val="1"/>
          <w:sz w:val="32"/>
          <w:szCs w:val="32"/>
          <w:highlight w:val="none"/>
          <w:lang w:val="en-US" w:eastAsia="zh-CN"/>
        </w:rPr>
        <w:t>增</w:t>
      </w:r>
      <w:r>
        <w:rPr>
          <w:rFonts w:hint="eastAsia" w:ascii="楷体_GB2312" w:hAnsi="楷体_GB2312" w:eastAsia="楷体_GB2312" w:cs="楷体_GB2312"/>
          <w:bCs/>
          <w:kern w:val="1"/>
          <w:sz w:val="32"/>
          <w:szCs w:val="32"/>
          <w:highlight w:val="none"/>
        </w:rPr>
        <w:t>运增效</w:t>
      </w:r>
    </w:p>
    <w:p w14:paraId="6E510646">
      <w:pPr>
        <w:pStyle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Cs/>
          <w:kern w:val="1"/>
          <w:sz w:val="32"/>
          <w:szCs w:val="32"/>
          <w:highlight w:val="none"/>
          <w:lang w:val="en-US" w:eastAsia="zh-CN"/>
        </w:rPr>
        <w:t>1.加强货运营销，积极开发新货源新项目。</w:t>
      </w:r>
      <w:r>
        <w:rPr>
          <w:rFonts w:hint="eastAsia" w:ascii="仿宋_GB2312" w:hAnsi="仿宋_GB2312" w:eastAsia="仿宋_GB2312" w:cs="仿宋_GB2312"/>
          <w:kern w:val="2"/>
          <w:sz w:val="32"/>
          <w:szCs w:val="32"/>
          <w:highlight w:val="none"/>
          <w:lang w:val="en-US" w:eastAsia="zh-CN" w:bidi="ar-SA"/>
        </w:rPr>
        <w:t>组织编制货源调查和客户开发方案，先后到10余家企业进行走访座谈、问卷调查，在临沭县交通局协助下召开了货源营销座谈会，筛选适铁货源。</w:t>
      </w:r>
      <w:r>
        <w:rPr>
          <w:rFonts w:hint="eastAsia" w:ascii="仿宋_GB2312" w:hAnsi="仿宋_GB2312" w:eastAsia="仿宋_GB2312" w:cs="仿宋_GB2312"/>
          <w:color w:val="auto"/>
          <w:kern w:val="2"/>
          <w:sz w:val="32"/>
          <w:szCs w:val="32"/>
          <w:highlight w:val="none"/>
          <w:lang w:bidi="ar"/>
        </w:rPr>
        <w:t>促成金沂蒙集团有限公司</w:t>
      </w:r>
      <w:r>
        <w:rPr>
          <w:rFonts w:hint="eastAsia" w:ascii="仿宋_GB2312" w:hAnsi="仿宋_GB2312" w:eastAsia="仿宋_GB2312" w:cs="仿宋_GB2312"/>
          <w:color w:val="auto"/>
          <w:kern w:val="2"/>
          <w:sz w:val="32"/>
          <w:szCs w:val="32"/>
          <w:highlight w:val="none"/>
          <w:lang w:eastAsia="zh-CN" w:bidi="ar"/>
        </w:rPr>
        <w:t>、临沭县供热服务有限公司</w:t>
      </w:r>
      <w:r>
        <w:rPr>
          <w:rFonts w:hint="eastAsia" w:ascii="仿宋_GB2312" w:hAnsi="仿宋_GB2312" w:eastAsia="仿宋_GB2312" w:cs="仿宋_GB2312"/>
          <w:color w:val="auto"/>
          <w:kern w:val="2"/>
          <w:sz w:val="32"/>
          <w:szCs w:val="32"/>
          <w:highlight w:val="none"/>
          <w:lang w:bidi="ar"/>
        </w:rPr>
        <w:t>在临沭站办理敞顶箱煤炭到达业务</w:t>
      </w:r>
      <w:r>
        <w:rPr>
          <w:rFonts w:hint="eastAsia" w:ascii="仿宋_GB2312" w:hAnsi="仿宋_GB2312" w:eastAsia="仿宋_GB2312" w:cs="仿宋_GB2312"/>
          <w:color w:val="auto"/>
          <w:kern w:val="2"/>
          <w:sz w:val="32"/>
          <w:szCs w:val="32"/>
          <w:highlight w:val="none"/>
          <w:lang w:eastAsia="zh-CN" w:bidi="ar"/>
        </w:rPr>
        <w:t>，</w:t>
      </w:r>
      <w:r>
        <w:rPr>
          <w:rFonts w:hint="eastAsia" w:ascii="仿宋_GB2312" w:hAnsi="仿宋_GB2312" w:eastAsia="仿宋_GB2312" w:cs="仿宋_GB2312"/>
          <w:kern w:val="2"/>
          <w:sz w:val="32"/>
          <w:szCs w:val="32"/>
          <w:highlight w:val="none"/>
          <w:lang w:val="en-US" w:eastAsia="zh-CN" w:bidi="ar-SA"/>
        </w:rPr>
        <w:t>当年新增到达煤炭4.63万吨</w:t>
      </w:r>
      <w:r>
        <w:rPr>
          <w:rFonts w:hint="eastAsia" w:ascii="仿宋_GB2312" w:hAnsi="仿宋_GB2312" w:eastAsia="仿宋_GB2312" w:cs="仿宋_GB2312"/>
          <w:color w:val="auto"/>
          <w:kern w:val="2"/>
          <w:sz w:val="32"/>
          <w:szCs w:val="32"/>
          <w:highlight w:val="none"/>
          <w:lang w:bidi="ar"/>
        </w:rPr>
        <w:t>；促成中农集团控股有限公司在临沭站办理集装箱化肥到达业务</w:t>
      </w:r>
      <w:r>
        <w:rPr>
          <w:rFonts w:hint="eastAsia" w:ascii="仿宋_GB2312" w:hAnsi="仿宋_GB2312" w:eastAsia="仿宋_GB2312" w:cs="仿宋_GB2312"/>
          <w:color w:val="auto"/>
          <w:kern w:val="2"/>
          <w:sz w:val="32"/>
          <w:szCs w:val="32"/>
          <w:highlight w:val="none"/>
          <w:lang w:eastAsia="zh-CN" w:bidi="ar"/>
        </w:rPr>
        <w:t>。</w:t>
      </w:r>
    </w:p>
    <w:p w14:paraId="0D857D07">
      <w:pPr>
        <w:pStyle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优化货运条件，推进临沭站货运增量。为实现货运增量，自2023年6月份开始，公司组织对临沭站货运装卸设施设备进行了改造升级，委托青岛供电段实施了临沭站接触网拆除项目，具备了开办集装箱业务条件。经过与济南局临沂车务段、济南铁路物流中心不断协调与沟通，自2024年5月1日开办集装箱业务。为进一步提升货场市场竞争能力，货场装卸单位申请继续投资改造货场货运设施、新建仓储库房。经上级同意后，于11月27日开始施工，目前已竣工投入使用。</w:t>
      </w:r>
    </w:p>
    <w:p w14:paraId="0B34DF92">
      <w:pPr>
        <w:pStyle w:val="2"/>
        <w:rPr>
          <w:rFonts w:hint="eastAsia" w:ascii="仿宋_GB2312" w:hAnsi="仿宋_GB2312" w:eastAsia="仿宋_GB2312" w:cs="仿宋_GB2312"/>
          <w:bCs/>
          <w:kern w:val="1"/>
          <w:sz w:val="32"/>
          <w:szCs w:val="32"/>
          <w:highlight w:val="none"/>
        </w:rPr>
      </w:pPr>
      <w:r>
        <w:rPr>
          <w:rFonts w:hint="eastAsia" w:ascii="仿宋_GB2312" w:hAnsi="仿宋_GB2312" w:eastAsia="仿宋_GB2312" w:cs="仿宋_GB2312"/>
          <w:kern w:val="2"/>
          <w:sz w:val="32"/>
          <w:szCs w:val="32"/>
          <w:highlight w:val="none"/>
          <w:lang w:val="en-US" w:eastAsia="zh-CN" w:bidi="ar-SA"/>
        </w:rPr>
        <w:t>3.加强货运成本核算，努力减亏增收。在努力扩大市场份额、提升铁路货运市场竞争力的同时，做好</w:t>
      </w:r>
      <w:r>
        <w:rPr>
          <w:rFonts w:hint="eastAsia" w:ascii="仿宋_GB2312" w:hAnsi="仿宋_GB2312" w:eastAsia="仿宋_GB2312" w:cs="仿宋_GB2312"/>
          <w:kern w:val="0"/>
          <w:sz w:val="32"/>
          <w:szCs w:val="32"/>
          <w:highlight w:val="none"/>
        </w:rPr>
        <w:t>一口价项目</w:t>
      </w:r>
      <w:r>
        <w:rPr>
          <w:rFonts w:hint="eastAsia" w:ascii="仿宋_GB2312" w:hAnsi="仿宋_GB2312" w:eastAsia="仿宋_GB2312" w:cs="仿宋_GB2312"/>
          <w:sz w:val="32"/>
          <w:szCs w:val="32"/>
          <w:highlight w:val="none"/>
        </w:rPr>
        <w:t>实施情况的跟踪分析，如出现承运制清算盈余为非正值情况，</w:t>
      </w:r>
      <w:r>
        <w:rPr>
          <w:rFonts w:hint="eastAsia" w:ascii="仿宋_GB2312" w:hAnsi="仿宋_GB2312" w:eastAsia="仿宋_GB2312" w:cs="仿宋_GB2312"/>
          <w:sz w:val="32"/>
          <w:szCs w:val="32"/>
          <w:highlight w:val="none"/>
          <w:lang w:val="en-US" w:eastAsia="zh-CN"/>
        </w:rPr>
        <w:t>立即停止实施。2024年通过核查</w:t>
      </w:r>
      <w:r>
        <w:rPr>
          <w:rFonts w:hint="eastAsia" w:ascii="仿宋_GB2312" w:hAnsi="仿宋_GB2312" w:eastAsia="仿宋_GB2312" w:cs="仿宋_GB2312"/>
          <w:color w:val="auto"/>
          <w:kern w:val="2"/>
          <w:sz w:val="32"/>
          <w:szCs w:val="32"/>
          <w:highlight w:val="none"/>
          <w:lang w:val="en-US" w:eastAsia="zh-CN" w:bidi="ar-SA"/>
        </w:rPr>
        <w:t>实施了临沭站发送化肥、有机肥等4个项目，停止了4个核算为负盈余的项目。</w:t>
      </w:r>
    </w:p>
    <w:p w14:paraId="2A5FE071">
      <w:pPr>
        <w:spacing w:line="580" w:lineRule="exact"/>
        <w:ind w:firstLine="640" w:firstLineChars="200"/>
        <w:rPr>
          <w:rFonts w:hint="eastAsia" w:ascii="楷体_GB2312" w:eastAsia="楷体_GB2312"/>
          <w:sz w:val="32"/>
          <w:szCs w:val="32"/>
          <w:highlight w:val="none"/>
        </w:rPr>
      </w:pPr>
      <w:r>
        <w:rPr>
          <w:rFonts w:hint="eastAsia" w:ascii="楷体_GB2312" w:hAnsi="楷体_GB2312" w:eastAsia="楷体_GB2312" w:cs="楷体_GB2312"/>
          <w:sz w:val="32"/>
          <w:szCs w:val="32"/>
          <w:highlight w:val="none"/>
        </w:rPr>
        <w:t>（二）</w:t>
      </w:r>
      <w:r>
        <w:rPr>
          <w:rFonts w:hint="eastAsia" w:ascii="楷体_GB2312" w:eastAsia="楷体_GB2312"/>
          <w:sz w:val="32"/>
          <w:szCs w:val="32"/>
          <w:highlight w:val="none"/>
        </w:rPr>
        <w:t>落实监管责</w:t>
      </w:r>
      <w:r>
        <w:rPr>
          <w:rFonts w:hint="eastAsia" w:ascii="楷体_GB2312" w:eastAsia="楷体_GB2312"/>
          <w:sz w:val="32"/>
          <w:szCs w:val="32"/>
          <w:highlight w:val="none"/>
          <w:lang w:val="en-US" w:eastAsia="zh-CN"/>
        </w:rPr>
        <w:t>任，保障</w:t>
      </w:r>
      <w:r>
        <w:rPr>
          <w:rFonts w:hint="eastAsia" w:ascii="楷体_GB2312" w:eastAsia="楷体_GB2312"/>
          <w:sz w:val="32"/>
          <w:szCs w:val="32"/>
          <w:highlight w:val="none"/>
        </w:rPr>
        <w:t>运输</w:t>
      </w:r>
      <w:r>
        <w:rPr>
          <w:rFonts w:hint="eastAsia" w:ascii="楷体_GB2312" w:eastAsia="楷体_GB2312"/>
          <w:sz w:val="32"/>
          <w:szCs w:val="32"/>
          <w:highlight w:val="none"/>
          <w:lang w:val="en-US" w:eastAsia="zh-CN"/>
        </w:rPr>
        <w:t>安全</w:t>
      </w:r>
    </w:p>
    <w:p w14:paraId="42E30D0D">
      <w:pPr>
        <w:spacing w:line="58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val="0"/>
          <w:bCs w:val="0"/>
          <w:sz w:val="32"/>
          <w:szCs w:val="32"/>
          <w:lang w:val="en-US" w:eastAsia="zh-CN"/>
        </w:rPr>
        <w:t>1.坚持现场巡查。</w:t>
      </w:r>
      <w:r>
        <w:rPr>
          <w:rFonts w:hint="eastAsia" w:ascii="仿宋_GB2312" w:hAnsi="仿宋_GB2312" w:eastAsia="仿宋_GB2312" w:cs="仿宋_GB2312"/>
          <w:color w:val="auto"/>
          <w:kern w:val="2"/>
          <w:sz w:val="32"/>
          <w:szCs w:val="32"/>
          <w:lang w:val="en-US" w:eastAsia="zh-CN" w:bidi="ar-SA"/>
        </w:rPr>
        <w:t>贯彻落实山铁公司“1+4+N”安全管理文件要求，全面推进安全风险管控和安全隐患排查工作。以高路基、深路堑、桥涵限高防护架、公铁并行地段防护栏为重点排定检查计划，加强现场巡查，对发现的26条问题及时向设备管理单位反馈并督促整改到位。重点做好自装卸场所安全管理，</w:t>
      </w:r>
      <w:r>
        <w:rPr>
          <w:rFonts w:hint="eastAsia" w:ascii="仿宋_GB2312" w:hAnsi="仿宋_GB2312" w:eastAsia="仿宋_GB2312" w:cs="仿宋_GB2312"/>
          <w:bCs/>
          <w:sz w:val="32"/>
          <w:szCs w:val="32"/>
          <w:highlight w:val="none"/>
        </w:rPr>
        <w:t>对临沭站货场装卸设备、人员及消防安全等进行现场检查2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次，发现问题21条，均向货场装卸</w:t>
      </w:r>
      <w:r>
        <w:rPr>
          <w:rFonts w:hint="eastAsia" w:ascii="仿宋_GB2312" w:hAnsi="仿宋_GB2312" w:eastAsia="仿宋_GB2312" w:cs="仿宋_GB2312"/>
          <w:bCs/>
          <w:sz w:val="32"/>
          <w:szCs w:val="32"/>
          <w:highlight w:val="none"/>
          <w:lang w:val="en-US" w:eastAsia="zh-CN"/>
        </w:rPr>
        <w:t>企业</w:t>
      </w:r>
      <w:r>
        <w:rPr>
          <w:rFonts w:hint="eastAsia" w:ascii="仿宋_GB2312" w:hAnsi="仿宋_GB2312" w:eastAsia="仿宋_GB2312" w:cs="仿宋_GB2312"/>
          <w:bCs/>
          <w:sz w:val="32"/>
          <w:szCs w:val="32"/>
          <w:highlight w:val="none"/>
        </w:rPr>
        <w:t>负责人反馈，并跟踪整改。</w:t>
      </w:r>
    </w:p>
    <w:p w14:paraId="6C7C1B41">
      <w:pPr>
        <w:spacing w:line="580" w:lineRule="exact"/>
        <w:ind w:firstLine="640" w:firstLineChars="20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Cs/>
          <w:sz w:val="32"/>
          <w:szCs w:val="32"/>
          <w:lang w:val="en-US" w:eastAsia="zh-CN"/>
        </w:rPr>
        <w:t>坚持开展</w:t>
      </w:r>
      <w:r>
        <w:rPr>
          <w:rFonts w:hint="eastAsia" w:ascii="仿宋_GB2312" w:hAnsi="仿宋_GB2312" w:eastAsia="仿宋_GB2312" w:cs="仿宋_GB2312"/>
          <w:bCs/>
          <w:sz w:val="32"/>
          <w:szCs w:val="32"/>
        </w:rPr>
        <w:t>专业技术咨询。公司委托山东地方铁路学会每季度对东平铁路作运输、安全技术诊断检查，并对诊断报告中提出的问题</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auto"/>
          <w:sz w:val="32"/>
          <w:szCs w:val="32"/>
        </w:rPr>
        <w:t>进行专题分析研判，纳入隐患库、风险库，对因受托单位管理不当造成的问题，纳入季度履约评价。结合山东地方铁路学会建议，与设备受托管理单位沟通，做好问题整改工作，实现闭环管理。</w:t>
      </w:r>
    </w:p>
    <w:p w14:paraId="4259F9EB">
      <w:pPr>
        <w:spacing w:line="580" w:lineRule="exact"/>
        <w:ind w:firstLine="640" w:firstLineChars="200"/>
        <w:contextualSpacing/>
        <w:rPr>
          <w:rFonts w:hint="eastAsia" w:ascii="仿宋_GB2312" w:hAnsi="仿宋_GB2312" w:eastAsia="仿宋_GB2312" w:cs="仿宋_GB2312"/>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color w:val="auto"/>
          <w:sz w:val="32"/>
          <w:szCs w:val="32"/>
        </w:rPr>
        <w:t>加强汛期安全生产管理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制定防洪预案，</w:t>
      </w:r>
      <w:r>
        <w:rPr>
          <w:rFonts w:hint="eastAsia" w:ascii="仿宋_GB2312" w:hAnsi="仿宋_GB2312" w:eastAsia="仿宋_GB2312" w:cs="仿宋_GB2312"/>
          <w:sz w:val="32"/>
          <w:szCs w:val="32"/>
          <w:lang w:val="en-US" w:eastAsia="zh-CN"/>
        </w:rPr>
        <w:t>根据济南局防洪办下发的防洪预警通知，落实防洪值班应急制度和防洪防汛相关要求，确保信息畅通。根据省交通厅要求，开展汛期铁路跨河桥梁安全隐患排查整治工作，完善《铁路跨河桥梁基本信息及安全隐患统计表》，联系受托管理单位落实问题整改，确保汛期安全。</w:t>
      </w:r>
    </w:p>
    <w:p w14:paraId="2E316E92">
      <w:pPr>
        <w:spacing w:line="580" w:lineRule="exact"/>
        <w:ind w:firstLine="640" w:firstLineChars="200"/>
        <w:contextualSpacing/>
        <w:rPr>
          <w:rFonts w:hint="eastAsia" w:ascii="楷体_GB2312" w:eastAsia="楷体_GB2312"/>
          <w:bCs/>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lang w:val="en-US" w:eastAsia="zh-CN"/>
        </w:rPr>
        <w:t>坚持依法合规，推进</w:t>
      </w:r>
      <w:r>
        <w:rPr>
          <w:rFonts w:hint="eastAsia" w:ascii="楷体_GB2312" w:eastAsia="楷体_GB2312"/>
          <w:bCs/>
          <w:sz w:val="32"/>
          <w:szCs w:val="32"/>
        </w:rPr>
        <w:t>经营管理</w:t>
      </w:r>
    </w:p>
    <w:p w14:paraId="5DB12B05">
      <w:pPr>
        <w:spacing w:line="580" w:lineRule="exact"/>
        <w:ind w:firstLine="640" w:firstLineChars="200"/>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rPr>
        <w:t>抓好大修、技改项目落实。</w:t>
      </w:r>
      <w:r>
        <w:rPr>
          <w:rFonts w:hint="eastAsia" w:ascii="仿宋_GB2312" w:hAnsi="仿宋_GB2312" w:eastAsia="仿宋_GB2312" w:cs="仿宋_GB2312"/>
          <w:sz w:val="32"/>
          <w:szCs w:val="32"/>
          <w:highlight w:val="none"/>
        </w:rPr>
        <w:t>对济南局提出的大修技改计划，组织进行现场调查审核，</w:t>
      </w:r>
      <w:r>
        <w:rPr>
          <w:rFonts w:hint="eastAsia" w:ascii="仿宋_GB2312" w:hAnsi="仿宋_GB2312" w:eastAsia="仿宋_GB2312" w:cs="仿宋_GB2312"/>
          <w:bCs/>
          <w:sz w:val="32"/>
          <w:szCs w:val="32"/>
          <w:highlight w:val="none"/>
        </w:rPr>
        <w:t>确定投资计划并督促实施</w:t>
      </w:r>
      <w:r>
        <w:rPr>
          <w:rFonts w:hint="eastAsia" w:ascii="仿宋_GB2312" w:hAnsi="仿宋_GB2312" w:eastAsia="仿宋_GB2312" w:cs="仿宋_GB2312"/>
          <w:sz w:val="32"/>
          <w:szCs w:val="32"/>
          <w:highlight w:val="none"/>
        </w:rPr>
        <w:t>。2024年技改大修项目共计3项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全部通过</w:t>
      </w:r>
      <w:r>
        <w:rPr>
          <w:rFonts w:hint="eastAsia" w:ascii="仿宋_GB2312" w:hAnsi="仿宋_GB2312" w:eastAsia="仿宋_GB2312" w:cs="仿宋_GB2312"/>
          <w:sz w:val="32"/>
          <w:szCs w:val="32"/>
          <w:highlight w:val="none"/>
        </w:rPr>
        <w:t>现场验收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完成结算2项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正在办理结算手续</w:t>
      </w:r>
      <w:r>
        <w:rPr>
          <w:rFonts w:hint="eastAsia" w:ascii="仿宋_GB2312" w:hAnsi="仿宋_GB2312" w:eastAsia="仿宋_GB2312" w:cs="仿宋_GB2312"/>
          <w:sz w:val="32"/>
          <w:szCs w:val="32"/>
          <w:highlight w:val="none"/>
        </w:rPr>
        <w:t>1项。对每个通过验收的项目，公司均委托第三方审价后办理结算手续，没有超投资预算项目。</w:t>
      </w:r>
    </w:p>
    <w:p w14:paraId="5AF705FA">
      <w:pPr>
        <w:spacing w:line="580" w:lineRule="exact"/>
        <w:ind w:firstLine="640" w:firstLineChars="200"/>
        <w:contextualSpacing/>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2.规范做好废旧物资的处置。</w:t>
      </w:r>
      <w:r>
        <w:rPr>
          <w:rFonts w:hint="eastAsia" w:ascii="仿宋_GB2312" w:hAnsi="仿宋_GB2312" w:eastAsia="仿宋_GB2312" w:cs="仿宋_GB2312"/>
          <w:b w:val="0"/>
          <w:bCs w:val="0"/>
          <w:sz w:val="32"/>
          <w:szCs w:val="32"/>
          <w:highlight w:val="none"/>
          <w:lang w:val="en-US" w:eastAsia="zh-CN"/>
        </w:rPr>
        <w:t>按规定程序对沂沭铁路技改大修实施后产生的废旧物资进行报废处置。临沭站接触网拆除后的废旧物资通过省产权交易中心于7月22日开始公开拍卖，几经周折，</w:t>
      </w:r>
      <w:r>
        <w:rPr>
          <w:rFonts w:hint="eastAsia" w:ascii="仿宋_GB2312" w:hAnsi="仿宋_GB2312" w:eastAsia="仿宋_GB2312" w:cs="仿宋_GB2312"/>
          <w:color w:val="auto"/>
          <w:kern w:val="2"/>
          <w:sz w:val="32"/>
          <w:szCs w:val="32"/>
          <w:lang w:val="en-US" w:eastAsia="zh-CN" w:bidi="ar-SA"/>
        </w:rPr>
        <w:t>两次降价后于11月29日再次挂网拍卖，</w:t>
      </w:r>
      <w:r>
        <w:rPr>
          <w:rFonts w:hint="eastAsia" w:ascii="仿宋_GB2312" w:hAnsi="仿宋_GB2312" w:eastAsia="仿宋_GB2312" w:cs="仿宋_GB2312"/>
          <w:b w:val="0"/>
          <w:bCs w:val="0"/>
          <w:sz w:val="32"/>
          <w:szCs w:val="32"/>
          <w:highlight w:val="none"/>
          <w:lang w:val="en-US" w:eastAsia="zh-CN"/>
        </w:rPr>
        <w:t>于12月9日成交，12月23日完成了交接。</w:t>
      </w:r>
    </w:p>
    <w:p w14:paraId="64E48C62">
      <w:pPr>
        <w:spacing w:line="580" w:lineRule="exact"/>
        <w:ind w:firstLine="640" w:firstLineChars="200"/>
        <w:contextualSpacing/>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Cs/>
          <w:sz w:val="32"/>
          <w:szCs w:val="32"/>
          <w:highlight w:val="none"/>
          <w:lang w:val="en-US" w:eastAsia="zh-CN"/>
        </w:rPr>
        <w:t>3.完成公司股权变更登记工作。</w:t>
      </w:r>
      <w:r>
        <w:rPr>
          <w:rFonts w:hint="eastAsia" w:ascii="仿宋_GB2312" w:hAnsi="仿宋_GB2312" w:eastAsia="仿宋_GB2312" w:cs="仿宋_GB2312"/>
          <w:bCs/>
          <w:sz w:val="32"/>
          <w:szCs w:val="32"/>
        </w:rPr>
        <w:t>按照“一省一公司”方案要求，组织专班专人多次与行政审批部门联系沟通，</w:t>
      </w:r>
      <w:r>
        <w:rPr>
          <w:rFonts w:hint="eastAsia" w:ascii="仿宋_GB2312" w:hAnsi="仿宋_GB2312" w:eastAsia="仿宋_GB2312" w:cs="仿宋_GB2312"/>
          <w:color w:val="auto"/>
          <w:kern w:val="2"/>
          <w:sz w:val="32"/>
          <w:szCs w:val="32"/>
          <w:lang w:val="en-US" w:eastAsia="zh-CN" w:bidi="ar-SA"/>
        </w:rPr>
        <w:t>克服了当地工商管理部门要求缴纳资产变更税费、股东方法人认证等困难，于3月份完成了公司的股权变更登记，同步完成公司法人和公司董事、监事等高管的变更备案。</w:t>
      </w:r>
    </w:p>
    <w:p w14:paraId="34DCF4E3">
      <w:pPr>
        <w:spacing w:line="580" w:lineRule="exact"/>
        <w:ind w:firstLine="640" w:firstLineChars="200"/>
        <w:contextualSpacing/>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4.推进工程档案整理工作。</w:t>
      </w:r>
      <w:r>
        <w:rPr>
          <w:rFonts w:hint="eastAsia" w:ascii="仿宋_GB2312" w:hAnsi="仿宋_GB2312" w:eastAsia="仿宋_GB2312" w:cs="仿宋_GB2312"/>
          <w:sz w:val="32"/>
          <w:szCs w:val="32"/>
          <w:highlight w:val="none"/>
        </w:rPr>
        <w:t>公司组织沂沭铁路各参建施工、监理、设计单位整理各自工程档案，</w:t>
      </w:r>
      <w:r>
        <w:rPr>
          <w:rFonts w:hint="eastAsia" w:ascii="仿宋_GB2312" w:hAnsi="仿宋_GB2312" w:eastAsia="仿宋_GB2312" w:cs="仿宋_GB2312"/>
          <w:sz w:val="32"/>
          <w:szCs w:val="32"/>
          <w:lang w:val="en-US" w:eastAsia="zh-CN"/>
        </w:rPr>
        <w:t>对工作推进不力的单位，及时给对方集团公司发函，督促落实人员、计划，按时间节点推进。</w:t>
      </w:r>
      <w:r>
        <w:rPr>
          <w:rFonts w:hint="eastAsia" w:ascii="仿宋_GB2312" w:hAnsi="仿宋_GB2312" w:eastAsia="仿宋_GB2312" w:cs="仿宋_GB2312"/>
          <w:sz w:val="32"/>
          <w:szCs w:val="32"/>
          <w:highlight w:val="none"/>
          <w:lang w:val="en-US" w:eastAsia="zh-CN"/>
        </w:rPr>
        <w:t>目前</w:t>
      </w:r>
      <w:r>
        <w:rPr>
          <w:rFonts w:hint="eastAsia" w:ascii="仿宋_GB2312" w:hAnsi="仿宋_GB2312" w:eastAsia="仿宋_GB2312" w:cs="仿宋_GB2312"/>
          <w:sz w:val="32"/>
          <w:szCs w:val="32"/>
          <w:highlight w:val="none"/>
        </w:rPr>
        <w:t>符合条件的沂沭建设档案已入馆。</w:t>
      </w:r>
    </w:p>
    <w:p w14:paraId="190212CE">
      <w:pPr>
        <w:autoSpaceDE w:val="0"/>
        <w:autoSpaceDN w:val="0"/>
        <w:adjustRightInd w:val="0"/>
        <w:snapToGrid w:val="0"/>
        <w:spacing w:line="560" w:lineRule="exact"/>
        <w:ind w:right="13" w:rightChars="6" w:firstLine="640" w:firstLineChars="200"/>
        <w:rPr>
          <w:rFonts w:ascii="黑体" w:hAnsi="黑体" w:eastAsia="黑体"/>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是公司开启高质量发展新征程至关重要的一年。公司董事将进一步完善公司治理结构，推进依法治企、规范决策，密切董事与公司经营管理之间的联系，提升董事在公司经营中的参与度，融洽董事之间和董事与股东方之间的关系，进一步增强董事会的团结，提高决策效率，为公司经营发展提供决策支持。</w:t>
      </w:r>
    </w:p>
    <w:p w14:paraId="1D3BBDD4">
      <w:pPr>
        <w:autoSpaceDE w:val="0"/>
        <w:autoSpaceDN w:val="0"/>
        <w:adjustRightInd w:val="0"/>
        <w:snapToGrid w:val="0"/>
        <w:spacing w:line="560" w:lineRule="exact"/>
        <w:ind w:right="13" w:rightChars="6"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四、年度审计报告摘要</w:t>
      </w:r>
    </w:p>
    <w:p w14:paraId="610065E2">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我公司202</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 xml:space="preserve">年度财务数据经天职国际会计师事务所（特殊普通合伙）审计，出具无保留意见审计报告，审计报告摘要如下： </w:t>
      </w:r>
    </w:p>
    <w:p w14:paraId="6F8621E1">
      <w:pPr>
        <w:widowControl/>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lang w:bidi="ar"/>
        </w:rPr>
        <w:t xml:space="preserve">（一）审计意见 </w:t>
      </w:r>
    </w:p>
    <w:p w14:paraId="254C0D3A">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我们审计了沂沭铁路有限责任公司财务报表，包括202</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年12月31日的资产负债表，202</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 xml:space="preserve">年度的利润表、现金流量表、所有者权益变动表以及相关财务报表附注。 </w:t>
      </w:r>
    </w:p>
    <w:p w14:paraId="30FA9D13">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我们认为，后附的财务报表在所有重大方面按照企业会计准则的规定编制，公允反映了沂沭公司202</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年12月31日的财务状况以及202</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 xml:space="preserve">年度的经营成果和现金流量。 </w:t>
      </w:r>
    </w:p>
    <w:p w14:paraId="0DE0456D">
      <w:pPr>
        <w:widowControl/>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lang w:bidi="ar"/>
        </w:rPr>
        <w:t xml:space="preserve">（二）形成审计意见的基础 </w:t>
      </w:r>
    </w:p>
    <w:p w14:paraId="7F312855">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我们按照中国注册会计师审计准则的规定执行了审计工作。审计报告的“注册会计师对财务报表审计的责任”部分进一步阐述了我们在这些准则下的责任。按照中国注册会计师职业道德守则，我们独立于沂沭公司，并履行了职业道德方面的其他责任。我们相信，我们获取的审计证据是充分、适当的，为发表审计意见提供了基础。</w:t>
      </w:r>
    </w:p>
    <w:p w14:paraId="46206A2C">
      <w:pPr>
        <w:autoSpaceDE w:val="0"/>
        <w:autoSpaceDN w:val="0"/>
        <w:adjustRightInd w:val="0"/>
        <w:snapToGrid w:val="0"/>
        <w:spacing w:line="560" w:lineRule="exact"/>
        <w:ind w:right="13" w:rightChars="6"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 xml:space="preserve">、“三重一大”有关事项 </w:t>
      </w:r>
    </w:p>
    <w:p w14:paraId="57BA766A">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（一）有关重大决策 </w:t>
      </w:r>
    </w:p>
    <w:p w14:paraId="1DAA5DED">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hint="eastAsia" w:ascii="仿宋_GB2312" w:eastAsia="仿宋_GB2312"/>
          <w:bCs/>
          <w:sz w:val="32"/>
          <w:szCs w:val="32"/>
        </w:rPr>
        <w:t>年内顺利召开了沂沭公司202</w:t>
      </w:r>
      <w:r>
        <w:rPr>
          <w:rFonts w:hint="eastAsia" w:ascii="仿宋_GB2312" w:eastAsia="仿宋_GB2312"/>
          <w:bCs/>
          <w:sz w:val="32"/>
          <w:szCs w:val="32"/>
          <w:lang w:val="en-US" w:eastAsia="zh-CN"/>
        </w:rPr>
        <w:t>3</w:t>
      </w:r>
      <w:r>
        <w:rPr>
          <w:rFonts w:hint="eastAsia" w:ascii="仿宋_GB2312" w:eastAsia="仿宋_GB2312"/>
          <w:bCs/>
          <w:sz w:val="32"/>
          <w:szCs w:val="32"/>
        </w:rPr>
        <w:t>年度“三会”，形成决议。根据工作实际，202</w:t>
      </w:r>
      <w:r>
        <w:rPr>
          <w:rFonts w:hint="eastAsia" w:ascii="仿宋_GB2312" w:eastAsia="仿宋_GB2312"/>
          <w:bCs/>
          <w:sz w:val="32"/>
          <w:szCs w:val="32"/>
          <w:lang w:val="en-US" w:eastAsia="zh-CN"/>
        </w:rPr>
        <w:t>4</w:t>
      </w:r>
      <w:r>
        <w:rPr>
          <w:rFonts w:hint="eastAsia" w:ascii="仿宋_GB2312" w:eastAsia="仿宋_GB2312"/>
          <w:bCs/>
          <w:sz w:val="32"/>
          <w:szCs w:val="32"/>
        </w:rPr>
        <w:t>年组织召开了</w:t>
      </w:r>
      <w:r>
        <w:rPr>
          <w:rFonts w:hint="eastAsia" w:ascii="仿宋_GB2312" w:eastAsia="仿宋_GB2312"/>
          <w:bCs/>
          <w:sz w:val="32"/>
          <w:szCs w:val="32"/>
          <w:lang w:val="en-US" w:eastAsia="zh-CN"/>
        </w:rPr>
        <w:t>1</w:t>
      </w:r>
      <w:r>
        <w:rPr>
          <w:rFonts w:hint="eastAsia" w:ascii="仿宋_GB2312" w:eastAsia="仿宋_GB2312"/>
          <w:bCs/>
          <w:sz w:val="32"/>
          <w:szCs w:val="32"/>
        </w:rPr>
        <w:t>次临时股东会、董事会，审议通过重大决策议案，确保相关经营工作及时推进。</w:t>
      </w:r>
    </w:p>
    <w:p w14:paraId="250A4749">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（二）有关重大人事任免 </w:t>
      </w:r>
    </w:p>
    <w:p w14:paraId="3CEC4EC8">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仿宋_GB2312" w:eastAsia="仿宋_GB2312"/>
          <w:bCs/>
          <w:sz w:val="32"/>
          <w:szCs w:val="32"/>
        </w:rPr>
        <w:t>无。</w:t>
      </w:r>
      <w:r>
        <w:rPr>
          <w:rFonts w:ascii="楷体" w:hAnsi="楷体" w:eastAsia="楷体"/>
          <w:sz w:val="32"/>
          <w:szCs w:val="32"/>
        </w:rPr>
        <w:t xml:space="preserve"> </w:t>
      </w:r>
    </w:p>
    <w:p w14:paraId="16C27A4C">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（三）有关重大项目投资及境外投资情况</w:t>
      </w:r>
    </w:p>
    <w:p w14:paraId="3EDEC119">
      <w:pPr>
        <w:autoSpaceDE w:val="0"/>
        <w:autoSpaceDN w:val="0"/>
        <w:adjustRightInd w:val="0"/>
        <w:snapToGrid w:val="0"/>
        <w:spacing w:line="560" w:lineRule="exact"/>
        <w:ind w:right="13" w:rightChars="6" w:firstLine="640" w:firstLineChars="200"/>
        <w:rPr>
          <w:rFonts w:ascii="仿宋_GB2312" w:hAnsi="仿宋_GB2312" w:eastAsia="仿宋_GB2312" w:cs="仿宋_GB2312"/>
          <w:sz w:val="32"/>
          <w:szCs w:val="32"/>
        </w:rPr>
      </w:pPr>
      <w:r>
        <w:rPr>
          <w:rFonts w:hint="eastAsia" w:ascii="仿宋_GB2312" w:eastAsia="仿宋_GB2312"/>
          <w:bCs/>
          <w:sz w:val="32"/>
          <w:szCs w:val="32"/>
        </w:rPr>
        <w:t>对济南局202</w:t>
      </w:r>
      <w:r>
        <w:rPr>
          <w:rFonts w:hint="eastAsia" w:ascii="仿宋_GB2312" w:eastAsia="仿宋_GB2312"/>
          <w:bCs/>
          <w:sz w:val="32"/>
          <w:szCs w:val="32"/>
          <w:lang w:val="en-US" w:eastAsia="zh-CN"/>
        </w:rPr>
        <w:t>4</w:t>
      </w:r>
      <w:r>
        <w:rPr>
          <w:rFonts w:hint="eastAsia" w:ascii="仿宋_GB2312" w:eastAsia="仿宋_GB2312"/>
          <w:bCs/>
          <w:sz w:val="32"/>
          <w:szCs w:val="32"/>
        </w:rPr>
        <w:t>年运输设施设备技术改造、大修计划建议，公司组织专家组进行了现场核实，沂沭铁路202</w:t>
      </w:r>
      <w:r>
        <w:rPr>
          <w:rFonts w:hint="eastAsia" w:ascii="仿宋_GB2312" w:eastAsia="仿宋_GB2312"/>
          <w:bCs/>
          <w:sz w:val="32"/>
          <w:szCs w:val="32"/>
          <w:lang w:val="en-US" w:eastAsia="zh-CN"/>
        </w:rPr>
        <w:t>4</w:t>
      </w:r>
      <w:r>
        <w:rPr>
          <w:rFonts w:hint="eastAsia" w:ascii="仿宋_GB2312" w:eastAsia="仿宋_GB2312"/>
          <w:bCs/>
          <w:sz w:val="32"/>
          <w:szCs w:val="32"/>
        </w:rPr>
        <w:t>年度运输设施设备技术改造建议计划</w:t>
      </w:r>
      <w:r>
        <w:rPr>
          <w:rFonts w:hint="eastAsia" w:ascii="仿宋_GB2312" w:eastAsia="仿宋_GB2312"/>
          <w:bCs/>
          <w:sz w:val="32"/>
          <w:szCs w:val="32"/>
          <w:lang w:val="en-US" w:eastAsia="zh-CN"/>
        </w:rPr>
        <w:t>3</w:t>
      </w:r>
      <w:r>
        <w:rPr>
          <w:rFonts w:hint="eastAsia" w:ascii="仿宋_GB2312" w:eastAsia="仿宋_GB2312"/>
          <w:bCs/>
          <w:sz w:val="32"/>
          <w:szCs w:val="32"/>
        </w:rPr>
        <w:t>项，估算投资</w:t>
      </w:r>
      <w:r>
        <w:rPr>
          <w:rFonts w:hint="eastAsia" w:ascii="仿宋_GB2312" w:eastAsia="仿宋_GB2312"/>
          <w:bCs/>
          <w:sz w:val="32"/>
          <w:szCs w:val="32"/>
          <w:lang w:val="en-US" w:eastAsia="zh-CN"/>
        </w:rPr>
        <w:t>353</w:t>
      </w:r>
      <w:r>
        <w:rPr>
          <w:rFonts w:hint="eastAsia" w:ascii="仿宋_GB2312" w:eastAsia="仿宋_GB2312"/>
          <w:bCs/>
          <w:sz w:val="32"/>
          <w:szCs w:val="32"/>
        </w:rPr>
        <w:t>万元。</w:t>
      </w:r>
    </w:p>
    <w:p w14:paraId="60C23E47">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（四）大额资金的调动及使用情况 </w:t>
      </w:r>
    </w:p>
    <w:p w14:paraId="607C89BC">
      <w:pPr>
        <w:autoSpaceDE w:val="0"/>
        <w:autoSpaceDN w:val="0"/>
        <w:adjustRightInd w:val="0"/>
        <w:snapToGrid w:val="0"/>
        <w:spacing w:line="560" w:lineRule="exact"/>
        <w:ind w:right="13" w:rightChars="6" w:firstLine="640" w:firstLineChars="200"/>
        <w:rPr>
          <w:rFonts w:ascii="仿宋_GB2312" w:eastAsia="仿宋_GB2312"/>
          <w:bCs/>
          <w:sz w:val="32"/>
          <w:szCs w:val="32"/>
        </w:rPr>
      </w:pPr>
      <w:r>
        <w:rPr>
          <w:rFonts w:ascii="仿宋_GB2312" w:eastAsia="仿宋_GB2312"/>
          <w:bCs/>
          <w:sz w:val="32"/>
          <w:szCs w:val="32"/>
        </w:rPr>
        <w:t>202</w:t>
      </w:r>
      <w:r>
        <w:rPr>
          <w:rFonts w:hint="eastAsia" w:ascii="仿宋_GB2312" w:eastAsia="仿宋_GB2312"/>
          <w:bCs/>
          <w:sz w:val="32"/>
          <w:szCs w:val="32"/>
          <w:lang w:val="en-US" w:eastAsia="zh-CN"/>
        </w:rPr>
        <w:t>4</w:t>
      </w:r>
      <w:r>
        <w:rPr>
          <w:rFonts w:ascii="仿宋_GB2312" w:eastAsia="仿宋_GB2312"/>
          <w:bCs/>
          <w:sz w:val="32"/>
          <w:szCs w:val="32"/>
        </w:rPr>
        <w:t xml:space="preserve">年大额资金的调动和使用均符合国资监管及公司相关 制度规定。 </w:t>
      </w:r>
    </w:p>
    <w:p w14:paraId="34224311">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（五）国有资产保值增值情况 </w:t>
      </w:r>
    </w:p>
    <w:p w14:paraId="1CF492F5">
      <w:pPr>
        <w:autoSpaceDE w:val="0"/>
        <w:autoSpaceDN w:val="0"/>
        <w:adjustRightInd w:val="0"/>
        <w:snapToGrid w:val="0"/>
        <w:spacing w:line="560" w:lineRule="exact"/>
        <w:ind w:right="13" w:rightChars="6" w:firstLine="640" w:firstLineChars="200"/>
        <w:rPr>
          <w:rFonts w:ascii="仿宋_GB2312" w:eastAsia="仿宋_GB2312"/>
          <w:bCs/>
          <w:sz w:val="32"/>
          <w:szCs w:val="32"/>
        </w:rPr>
      </w:pPr>
      <w:r>
        <w:rPr>
          <w:rFonts w:ascii="仿宋_GB2312" w:eastAsia="仿宋_GB2312"/>
          <w:bCs/>
          <w:sz w:val="32"/>
          <w:szCs w:val="32"/>
        </w:rPr>
        <w:t>持续加强国有资产经营管理，提质增效，实现国有资产保值增值。</w:t>
      </w:r>
    </w:p>
    <w:p w14:paraId="5AF4C859">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（六）企业重大改制重组 </w:t>
      </w:r>
    </w:p>
    <w:p w14:paraId="707EB85A">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仿宋_GB2312" w:eastAsia="仿宋_GB2312"/>
          <w:bCs/>
          <w:sz w:val="32"/>
          <w:szCs w:val="32"/>
        </w:rPr>
        <w:t>无。</w:t>
      </w:r>
      <w:r>
        <w:rPr>
          <w:rFonts w:ascii="楷体" w:hAnsi="楷体" w:eastAsia="楷体"/>
          <w:sz w:val="32"/>
          <w:szCs w:val="32"/>
        </w:rPr>
        <w:t xml:space="preserve"> </w:t>
      </w:r>
    </w:p>
    <w:p w14:paraId="6C303F32">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（七）通过产权市场转让企业产权和企业增资等信息 </w:t>
      </w:r>
    </w:p>
    <w:p w14:paraId="4F23AF0F">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仿宋_GB2312" w:eastAsia="仿宋_GB2312"/>
          <w:bCs/>
          <w:sz w:val="32"/>
          <w:szCs w:val="32"/>
        </w:rPr>
        <w:t>无。</w:t>
      </w:r>
      <w:r>
        <w:rPr>
          <w:rFonts w:ascii="楷体" w:hAnsi="楷体" w:eastAsia="楷体"/>
          <w:sz w:val="32"/>
          <w:szCs w:val="32"/>
        </w:rPr>
        <w:t xml:space="preserve"> </w:t>
      </w:r>
    </w:p>
    <w:p w14:paraId="73E1F89A">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（八）有关部门依法要求公开的监督检查问题整改情况 </w:t>
      </w:r>
    </w:p>
    <w:p w14:paraId="0A9B7198">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仿宋_GB2312" w:eastAsia="仿宋_GB2312"/>
          <w:bCs/>
          <w:sz w:val="32"/>
          <w:szCs w:val="32"/>
        </w:rPr>
        <w:t>无。</w:t>
      </w:r>
      <w:r>
        <w:rPr>
          <w:rFonts w:ascii="楷体" w:hAnsi="楷体" w:eastAsia="楷体"/>
          <w:sz w:val="32"/>
          <w:szCs w:val="32"/>
        </w:rPr>
        <w:t xml:space="preserve"> </w:t>
      </w:r>
    </w:p>
    <w:p w14:paraId="76B32EF2">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（九）重大突发事件事态发展和应急处置情况 </w:t>
      </w:r>
    </w:p>
    <w:p w14:paraId="4D9617E4">
      <w:pPr>
        <w:autoSpaceDE w:val="0"/>
        <w:autoSpaceDN w:val="0"/>
        <w:adjustRightInd w:val="0"/>
        <w:snapToGrid w:val="0"/>
        <w:spacing w:line="560" w:lineRule="exact"/>
        <w:ind w:right="13" w:rightChars="6" w:firstLine="640" w:firstLineChars="200"/>
        <w:rPr>
          <w:rFonts w:ascii="仿宋_GB2312" w:eastAsia="仿宋_GB2312"/>
          <w:bCs/>
          <w:sz w:val="32"/>
          <w:szCs w:val="32"/>
        </w:rPr>
      </w:pPr>
      <w:r>
        <w:rPr>
          <w:rFonts w:ascii="仿宋_GB2312" w:eastAsia="仿宋_GB2312"/>
          <w:bCs/>
          <w:sz w:val="32"/>
          <w:szCs w:val="32"/>
        </w:rPr>
        <w:t>无。</w:t>
      </w:r>
    </w:p>
    <w:p w14:paraId="62BE536D">
      <w:pPr>
        <w:spacing w:line="560" w:lineRule="exact"/>
        <w:ind w:firstLine="640" w:firstLineChars="200"/>
        <w:rPr>
          <w:rFonts w:ascii="黑体" w:hAnsi="黑体" w:eastAsia="黑体"/>
          <w:sz w:val="32"/>
          <w:szCs w:val="32"/>
        </w:rPr>
      </w:pPr>
      <w:r>
        <w:rPr>
          <w:rFonts w:hint="eastAsia" w:ascii="黑体" w:hAnsi="黑体" w:eastAsia="黑体" w:cs="黑体"/>
          <w:sz w:val="32"/>
          <w:szCs w:val="32"/>
        </w:rPr>
        <w:t> </w:t>
      </w:r>
      <w:bookmarkEnd w:id="0"/>
      <w:bookmarkEnd w:id="1"/>
      <w:bookmarkEnd w:id="2"/>
      <w:r>
        <w:rPr>
          <w:rFonts w:hint="eastAsia" w:ascii="黑体" w:hAnsi="黑体" w:eastAsia="黑体" w:cs="黑体"/>
          <w:sz w:val="32"/>
          <w:szCs w:val="32"/>
        </w:rPr>
        <w:t>六</w:t>
      </w:r>
      <w:r>
        <w:rPr>
          <w:rFonts w:ascii="黑体" w:hAnsi="黑体" w:eastAsia="黑体"/>
          <w:sz w:val="32"/>
          <w:szCs w:val="32"/>
        </w:rPr>
        <w:t xml:space="preserve">、社会责任的履行 </w:t>
      </w:r>
    </w:p>
    <w:p w14:paraId="1EBCBE8B">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（一）职工劳动合同的签订、履行等劳动法律法规的遵守和 执行情况 </w:t>
      </w:r>
    </w:p>
    <w:p w14:paraId="2020C437">
      <w:pPr>
        <w:autoSpaceDE w:val="0"/>
        <w:autoSpaceDN w:val="0"/>
        <w:adjustRightInd w:val="0"/>
        <w:snapToGrid w:val="0"/>
        <w:spacing w:line="560" w:lineRule="exact"/>
        <w:ind w:right="13" w:rightChars="6" w:firstLine="640" w:firstLineChars="200"/>
        <w:rPr>
          <w:rFonts w:ascii="仿宋_GB2312" w:hAnsi="仿宋" w:eastAsia="仿宋_GB2312" w:cs="仿宋"/>
          <w:sz w:val="32"/>
          <w:szCs w:val="32"/>
        </w:rPr>
      </w:pPr>
      <w:r>
        <w:rPr>
          <w:rFonts w:ascii="仿宋_GB2312" w:hAnsi="仿宋" w:eastAsia="仿宋_GB2312" w:cs="仿宋"/>
          <w:sz w:val="32"/>
          <w:szCs w:val="32"/>
        </w:rPr>
        <w:t>根据《山东铁路有限公司劳动合同管理办法（试行）》，严 格遵守和执行劳动法律法规，切实维护职工的合法权益，构建和 谐劳动关系。截至202</w:t>
      </w:r>
      <w:r>
        <w:rPr>
          <w:rFonts w:hint="eastAsia" w:ascii="仿宋_GB2312" w:hAnsi="仿宋" w:eastAsia="仿宋_GB2312" w:cs="仿宋"/>
          <w:sz w:val="32"/>
          <w:szCs w:val="32"/>
          <w:lang w:val="en-US" w:eastAsia="zh-CN"/>
        </w:rPr>
        <w:t>4</w:t>
      </w:r>
      <w:r>
        <w:rPr>
          <w:rFonts w:ascii="仿宋_GB2312" w:hAnsi="仿宋" w:eastAsia="仿宋_GB2312" w:cs="仿宋"/>
          <w:sz w:val="32"/>
          <w:szCs w:val="32"/>
        </w:rPr>
        <w:t xml:space="preserve">年底，职工劳动合同签订率为100%。全年 未发生一起劳动合同纠纷事件。 </w:t>
      </w:r>
    </w:p>
    <w:p w14:paraId="12543C7E">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（二）人才引进、职工招聘等情况 </w:t>
      </w:r>
    </w:p>
    <w:p w14:paraId="5874EA28">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仿宋_GB2312" w:hAnsi="仿宋" w:eastAsia="仿宋_GB2312" w:cs="仿宋"/>
          <w:sz w:val="32"/>
          <w:szCs w:val="32"/>
        </w:rPr>
        <w:t>无。</w:t>
      </w:r>
      <w:r>
        <w:rPr>
          <w:rFonts w:ascii="楷体" w:hAnsi="楷体" w:eastAsia="楷体"/>
          <w:sz w:val="32"/>
          <w:szCs w:val="32"/>
        </w:rPr>
        <w:t xml:space="preserve"> </w:t>
      </w:r>
    </w:p>
    <w:p w14:paraId="67DAF962">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（三）职工劳动、安全及卫生保护情况 </w:t>
      </w:r>
    </w:p>
    <w:p w14:paraId="729CDD14">
      <w:pPr>
        <w:autoSpaceDE w:val="0"/>
        <w:autoSpaceDN w:val="0"/>
        <w:adjustRightInd w:val="0"/>
        <w:snapToGrid w:val="0"/>
        <w:spacing w:line="560" w:lineRule="exact"/>
        <w:ind w:right="13" w:rightChars="6" w:firstLine="640" w:firstLineChars="200"/>
        <w:rPr>
          <w:rFonts w:ascii="仿宋_GB2312" w:hAnsi="仿宋" w:eastAsia="仿宋_GB2312" w:cs="仿宋"/>
          <w:sz w:val="32"/>
          <w:szCs w:val="32"/>
        </w:rPr>
      </w:pPr>
      <w:r>
        <w:rPr>
          <w:rFonts w:ascii="仿宋_GB2312" w:hAnsi="仿宋" w:eastAsia="仿宋_GB2312" w:cs="仿宋"/>
          <w:sz w:val="32"/>
          <w:szCs w:val="32"/>
        </w:rPr>
        <w:t xml:space="preserve">公司严格按照劳动保护法及相关要求保障职工合法权益。改 善劳动条件，加强相关培训，为职工提供健康安全的工作环境。 </w:t>
      </w:r>
    </w:p>
    <w:p w14:paraId="50D29C58">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（四）开展环境治理及保护情况 </w:t>
      </w:r>
    </w:p>
    <w:p w14:paraId="7442A38E">
      <w:pPr>
        <w:autoSpaceDE w:val="0"/>
        <w:autoSpaceDN w:val="0"/>
        <w:adjustRightInd w:val="0"/>
        <w:snapToGrid w:val="0"/>
        <w:spacing w:line="560" w:lineRule="exact"/>
        <w:ind w:right="13" w:rightChars="6" w:firstLine="640" w:firstLineChars="200"/>
        <w:rPr>
          <w:rFonts w:ascii="仿宋_GB2312" w:hAnsi="仿宋" w:eastAsia="仿宋_GB2312" w:cs="仿宋"/>
          <w:sz w:val="32"/>
          <w:szCs w:val="32"/>
        </w:rPr>
      </w:pPr>
      <w:r>
        <w:rPr>
          <w:rFonts w:ascii="仿宋_GB2312" w:hAnsi="仿宋" w:eastAsia="仿宋_GB2312" w:cs="仿宋"/>
          <w:sz w:val="32"/>
          <w:szCs w:val="32"/>
        </w:rPr>
        <w:t xml:space="preserve">公司所有项目全部满足国家相应标准要求，并积极与管辖铁 路沿线地方政府对接处理各项工作。 </w:t>
      </w:r>
    </w:p>
    <w:p w14:paraId="006E73C3">
      <w:pPr>
        <w:autoSpaceDE w:val="0"/>
        <w:autoSpaceDN w:val="0"/>
        <w:adjustRightInd w:val="0"/>
        <w:snapToGrid w:val="0"/>
        <w:spacing w:line="560" w:lineRule="exact"/>
        <w:ind w:right="13" w:rightChars="6" w:firstLine="640" w:firstLineChars="200"/>
        <w:rPr>
          <w:rFonts w:ascii="楷体" w:hAnsi="楷体" w:eastAsia="楷体"/>
          <w:sz w:val="32"/>
          <w:szCs w:val="32"/>
        </w:rPr>
      </w:pPr>
      <w:r>
        <w:rPr>
          <w:rFonts w:ascii="楷体" w:hAnsi="楷体" w:eastAsia="楷体"/>
          <w:sz w:val="32"/>
          <w:szCs w:val="32"/>
        </w:rPr>
        <w:t xml:space="preserve">（五）提供安全的产品和服务，遵守商业道德情况 </w:t>
      </w:r>
    </w:p>
    <w:p w14:paraId="76853009">
      <w:pPr>
        <w:autoSpaceDE w:val="0"/>
        <w:autoSpaceDN w:val="0"/>
        <w:adjustRightInd w:val="0"/>
        <w:snapToGrid w:val="0"/>
        <w:spacing w:line="560" w:lineRule="exact"/>
        <w:ind w:right="13" w:rightChars="6" w:firstLine="640" w:firstLineChars="200"/>
        <w:rPr>
          <w:rFonts w:ascii="仿宋_GB2312" w:hAnsi="仿宋" w:eastAsia="仿宋_GB2312" w:cs="仿宋"/>
          <w:sz w:val="32"/>
          <w:szCs w:val="32"/>
        </w:rPr>
      </w:pPr>
      <w:r>
        <w:rPr>
          <w:rFonts w:ascii="仿宋_GB2312" w:hAnsi="仿宋" w:eastAsia="仿宋_GB2312" w:cs="仿宋"/>
          <w:sz w:val="32"/>
          <w:szCs w:val="32"/>
        </w:rPr>
        <w:t>公司始终遵守市场竞争规则和商业道德，维护市场经济秩序， 促进公平竞争，增强经济活动的可预期性。坚持依法经营，牢记 道德底线、法律红线，诚信合规经营。坚持以公平、对等、诚信 的态度对待商业合作伙伴，努力赢得伙伴和市场的信赖。</w:t>
      </w:r>
    </w:p>
    <w:p w14:paraId="6E9046B0">
      <w:pPr>
        <w:autoSpaceDE w:val="0"/>
        <w:autoSpaceDN w:val="0"/>
        <w:adjustRightInd w:val="0"/>
        <w:snapToGrid w:val="0"/>
        <w:spacing w:line="560" w:lineRule="exact"/>
        <w:ind w:right="13" w:rightChars="6"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（六）对外大额捐赠和赞助情况</w:t>
      </w:r>
    </w:p>
    <w:p w14:paraId="31F22ACD">
      <w:pPr>
        <w:autoSpaceDE w:val="0"/>
        <w:autoSpaceDN w:val="0"/>
        <w:adjustRightInd w:val="0"/>
        <w:snapToGrid w:val="0"/>
        <w:spacing w:line="560" w:lineRule="exact"/>
        <w:ind w:right="13" w:rightChars="6" w:firstLine="640" w:firstLineChars="200"/>
        <w:rPr>
          <w:rFonts w:ascii="仿宋_GB2312" w:hAnsi="仿宋" w:eastAsia="仿宋_GB2312" w:cs="仿宋"/>
          <w:sz w:val="32"/>
          <w:szCs w:val="32"/>
        </w:rPr>
      </w:pPr>
      <w:r>
        <w:rPr>
          <w:rFonts w:hint="eastAsia" w:ascii="仿宋_GB2312" w:hAnsi="仿宋" w:eastAsia="仿宋_GB2312" w:cs="仿宋"/>
          <w:sz w:val="32"/>
          <w:szCs w:val="32"/>
        </w:rPr>
        <w:t>无。</w:t>
      </w:r>
    </w:p>
    <w:p w14:paraId="5B3D2162">
      <w:pPr>
        <w:spacing w:before="128" w:line="560" w:lineRule="exact"/>
        <w:ind w:right="77" w:firstLine="484"/>
        <w:rPr>
          <w:rFonts w:ascii="仿宋_GB2312" w:hAnsi="仿宋" w:eastAsia="仿宋_GB2312" w:cs="仿宋"/>
          <w:sz w:val="32"/>
          <w:szCs w:val="32"/>
        </w:rPr>
      </w:pPr>
      <w:r>
        <w:rPr>
          <w:rFonts w:hint="eastAsia" w:ascii="仿宋_GB2312" w:hAnsi="仿宋" w:eastAsia="仿宋_GB2312" w:cs="仿宋"/>
          <w:sz w:val="32"/>
          <w:szCs w:val="32"/>
        </w:rPr>
        <w:t>以上信息，尚未经公司董事会审批。</w:t>
      </w:r>
    </w:p>
    <w:p w14:paraId="5AD24FB7">
      <w:pPr>
        <w:spacing w:before="128" w:line="560" w:lineRule="exact"/>
        <w:ind w:right="77" w:firstLine="484"/>
        <w:rPr>
          <w:rFonts w:ascii="仿宋_GB2312" w:hAnsi="仿宋" w:eastAsia="仿宋_GB2312" w:cs="仿宋"/>
          <w:sz w:val="32"/>
          <w:szCs w:val="32"/>
        </w:rPr>
      </w:pPr>
    </w:p>
    <w:p w14:paraId="01B15518">
      <w:pPr>
        <w:spacing w:before="128" w:line="560" w:lineRule="exact"/>
        <w:ind w:right="77" w:firstLine="484"/>
        <w:rPr>
          <w:rFonts w:ascii="仿宋_GB2312" w:hAnsi="仿宋" w:eastAsia="仿宋_GB2312" w:cs="仿宋"/>
          <w:sz w:val="32"/>
          <w:szCs w:val="32"/>
        </w:rPr>
      </w:pPr>
    </w:p>
    <w:p w14:paraId="24A8DD23">
      <w:pPr>
        <w:autoSpaceDE w:val="0"/>
        <w:autoSpaceDN w:val="0"/>
        <w:adjustRightInd w:val="0"/>
        <w:snapToGrid w:val="0"/>
        <w:spacing w:line="560" w:lineRule="exact"/>
        <w:ind w:right="13" w:rightChars="6" w:firstLine="4800" w:firstLineChars="1500"/>
        <w:rPr>
          <w:rFonts w:ascii="仿宋_GB2312" w:hAnsi="仿宋" w:eastAsia="仿宋_GB2312" w:cs="仿宋"/>
          <w:sz w:val="32"/>
          <w:szCs w:val="32"/>
        </w:rPr>
      </w:pPr>
      <w:r>
        <w:rPr>
          <w:rFonts w:hint="eastAsia" w:ascii="仿宋_GB2312" w:hAnsi="仿宋" w:eastAsia="仿宋_GB2312" w:cs="仿宋"/>
          <w:sz w:val="32"/>
          <w:szCs w:val="32"/>
        </w:rPr>
        <w:t>沂沭铁路有限责任公司</w:t>
      </w:r>
    </w:p>
    <w:p w14:paraId="073EC9DF">
      <w:pPr>
        <w:autoSpaceDE w:val="0"/>
        <w:autoSpaceDN w:val="0"/>
        <w:adjustRightInd w:val="0"/>
        <w:snapToGrid w:val="0"/>
        <w:spacing w:line="560" w:lineRule="exact"/>
        <w:ind w:right="13" w:rightChars="6" w:firstLine="5440" w:firstLineChars="1700"/>
        <w:rPr>
          <w:rFonts w:ascii="仿宋_GB2312" w:hAnsi="仿宋" w:eastAsia="仿宋_GB2312" w:cs="仿宋"/>
          <w:sz w:val="32"/>
          <w:szCs w:val="32"/>
        </w:rPr>
      </w:pPr>
      <w:r>
        <w:rPr>
          <w:rFonts w:hint="eastAsia" w:ascii="仿宋_GB2312" w:hAnsi="仿宋" w:eastAsia="仿宋_GB2312" w:cs="仿宋"/>
          <w:sz w:val="32"/>
          <w:szCs w:val="32"/>
        </w:rPr>
        <w:t>2</w:t>
      </w:r>
      <w:r>
        <w:rPr>
          <w:rFonts w:ascii="仿宋_GB2312" w:hAnsi="仿宋" w:eastAsia="仿宋_GB2312" w:cs="仿宋"/>
          <w:sz w:val="32"/>
          <w:szCs w:val="32"/>
        </w:rPr>
        <w:t>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29</w:t>
      </w:r>
      <w:r>
        <w:rPr>
          <w:rFonts w:hint="eastAsia" w:ascii="仿宋_GB2312" w:hAnsi="仿宋" w:eastAsia="仿宋_GB2312" w:cs="仿宋"/>
          <w:sz w:val="32"/>
          <w:szCs w:val="32"/>
        </w:rPr>
        <w:t>日</w:t>
      </w:r>
    </w:p>
    <w:p w14:paraId="21B7CCF7">
      <w:pPr>
        <w:spacing w:before="128" w:line="379" w:lineRule="auto"/>
        <w:ind w:right="77" w:firstLine="484"/>
        <w:rPr>
          <w:rFonts w:ascii="仿宋_GB2312" w:eastAsia="仿宋_GB2312"/>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770849"/>
      <w:docPartObj>
        <w:docPartGallery w:val="autotext"/>
      </w:docPartObj>
    </w:sdtPr>
    <w:sdtEndPr>
      <w:rPr>
        <w:rFonts w:ascii="宋体" w:hAnsi="宋体" w:eastAsia="宋体"/>
        <w:sz w:val="28"/>
        <w:szCs w:val="28"/>
      </w:rPr>
    </w:sdtEndPr>
    <w:sdtContent>
      <w:p w14:paraId="657063F5">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14:paraId="67695D3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157164"/>
      <w:docPartObj>
        <w:docPartGallery w:val="autotext"/>
      </w:docPartObj>
    </w:sdtPr>
    <w:sdtEndPr>
      <w:rPr>
        <w:rFonts w:ascii="宋体" w:hAnsi="宋体" w:eastAsia="宋体"/>
        <w:sz w:val="28"/>
        <w:szCs w:val="28"/>
      </w:rPr>
    </w:sdtEndPr>
    <w:sdtContent>
      <w:p w14:paraId="176D14A7">
        <w:pPr>
          <w:pStyle w:val="3"/>
          <w:ind w:right="72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- 2 -</w:t>
        </w:r>
        <w:r>
          <w:rPr>
            <w:rFonts w:ascii="宋体" w:hAnsi="宋体" w:eastAsia="宋体"/>
            <w:sz w:val="28"/>
            <w:szCs w:val="28"/>
          </w:rPr>
          <w:fldChar w:fldCharType="end"/>
        </w:r>
      </w:p>
    </w:sdtContent>
  </w:sdt>
  <w:p w14:paraId="0ADC28D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80E4F4"/>
    <w:multiLevelType w:val="singleLevel"/>
    <w:tmpl w:val="4980E4F4"/>
    <w:lvl w:ilvl="0" w:tentative="0">
      <w:start w:val="1"/>
      <w:numFmt w:val="chineseCounting"/>
      <w:suff w:val="nothing"/>
      <w:lvlText w:val="（%1）"/>
      <w:lvlJc w:val="left"/>
      <w:pPr>
        <w:ind w:left="-10"/>
      </w:pPr>
      <w:rPr>
        <w:rFonts w:hint="eastAsia" w:ascii="楷体_GB2312" w:hAnsi="楷体_GB2312" w:eastAsia="楷体_GB2312" w:cs="楷体_GB2312"/>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evenAndOddHeaders w:val="1"/>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MWYzM2Q4OTVmYjY3ZTQ0Zjc4MDI2MTdiMWE4ZGQifQ=="/>
  </w:docVars>
  <w:rsids>
    <w:rsidRoot w:val="006311E3"/>
    <w:rsid w:val="001135E3"/>
    <w:rsid w:val="00123909"/>
    <w:rsid w:val="001B0A7C"/>
    <w:rsid w:val="00375009"/>
    <w:rsid w:val="003C674E"/>
    <w:rsid w:val="00411432"/>
    <w:rsid w:val="00471C59"/>
    <w:rsid w:val="00475486"/>
    <w:rsid w:val="004A491F"/>
    <w:rsid w:val="004C0CB7"/>
    <w:rsid w:val="005E225A"/>
    <w:rsid w:val="006311E3"/>
    <w:rsid w:val="006C747F"/>
    <w:rsid w:val="006D724E"/>
    <w:rsid w:val="007C6244"/>
    <w:rsid w:val="007F7780"/>
    <w:rsid w:val="00890C36"/>
    <w:rsid w:val="008B58D4"/>
    <w:rsid w:val="00973195"/>
    <w:rsid w:val="00CC403C"/>
    <w:rsid w:val="00D1565F"/>
    <w:rsid w:val="00DA03AA"/>
    <w:rsid w:val="00F84592"/>
    <w:rsid w:val="05B25C73"/>
    <w:rsid w:val="0B486CC8"/>
    <w:rsid w:val="10B364B7"/>
    <w:rsid w:val="12BF5B48"/>
    <w:rsid w:val="169313E3"/>
    <w:rsid w:val="317A15E8"/>
    <w:rsid w:val="38B335EB"/>
    <w:rsid w:val="3C3C1BE8"/>
    <w:rsid w:val="4466412C"/>
    <w:rsid w:val="4C036089"/>
    <w:rsid w:val="4CCB77AD"/>
    <w:rsid w:val="4E066658"/>
    <w:rsid w:val="53C848F0"/>
    <w:rsid w:val="5A6D7DD4"/>
    <w:rsid w:val="5CD06B34"/>
    <w:rsid w:val="5DEB51C1"/>
    <w:rsid w:val="64F760E1"/>
    <w:rsid w:val="70E45868"/>
    <w:rsid w:val="775F7B09"/>
    <w:rsid w:val="7E2B4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614" w:firstLineChars="192"/>
    </w:pPr>
    <w:rPr>
      <w:rFonts w:ascii="楷体_GB2312" w:hAnsi="宋体"/>
      <w:sz w:val="32"/>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customStyle="1" w:styleId="9">
    <w:name w:val="Heading #1|1_"/>
    <w:basedOn w:val="7"/>
    <w:link w:val="10"/>
    <w:qFormat/>
    <w:uiPriority w:val="0"/>
    <w:rPr>
      <w:rFonts w:ascii="宋体" w:hAnsi="宋体" w:eastAsia="宋体" w:cs="宋体"/>
      <w:sz w:val="42"/>
      <w:szCs w:val="42"/>
      <w:lang w:val="zh-TW" w:eastAsia="zh-TW" w:bidi="zh-TW"/>
    </w:rPr>
  </w:style>
  <w:style w:type="paragraph" w:customStyle="1" w:styleId="10">
    <w:name w:val="Heading #1|1"/>
    <w:basedOn w:val="1"/>
    <w:link w:val="9"/>
    <w:qFormat/>
    <w:uiPriority w:val="0"/>
    <w:pPr>
      <w:spacing w:after="350"/>
      <w:jc w:val="center"/>
      <w:outlineLvl w:val="0"/>
    </w:pPr>
    <w:rPr>
      <w:rFonts w:ascii="宋体" w:hAnsi="宋体" w:eastAsia="宋体" w:cs="宋体"/>
      <w:sz w:val="42"/>
      <w:szCs w:val="42"/>
      <w:lang w:val="zh-TW" w:eastAsia="zh-TW" w:bidi="zh-TW"/>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table" w:customStyle="1" w:styleId="13">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customStyle="1" w:styleId="14">
    <w:name w:val="FN6正文"/>
    <w:basedOn w:val="1"/>
    <w:qFormat/>
    <w:uiPriority w:val="0"/>
    <w:pPr>
      <w:widowControl/>
      <w:ind w:firstLine="200" w:firstLineChars="200"/>
      <w:jc w:val="left"/>
    </w:pPr>
    <w:rPr>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3387</Words>
  <Characters>3612</Characters>
  <Lines>27</Lines>
  <Paragraphs>7</Paragraphs>
  <TotalTime>0</TotalTime>
  <ScaleCrop>false</ScaleCrop>
  <LinksUpToDate>false</LinksUpToDate>
  <CharactersWithSpaces>3659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2022-04-25T02:47:00Z</dcterms:created>
  <dc:creator>dongchunqian@outlook.com</dc:creator>
  <cp:lastModifiedBy>企业用户_451265971</cp:lastModifiedBy>
  <dcterms:modified xsi:type="dcterms:W3CDTF">2025-09-02T01:14:45Z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23E09926D81E41B4B152397509C77A8F_13</vt:lpwstr>
  </property>
  <property fmtid="{D5CDD505-2E9C-101B-9397-08002B2CF9AE}" pid="4" name="KSOTemplateDocerSaveRecord">
    <vt:lpwstr>eyJoZGlkIjoiMzNiYjllMWViNGM3MjNkM2ZlMjEyZjg3YzJmNWRkMGQiLCJ1c2VySWQiOiIxNTk4MjA3MjE2In0=</vt:lpwstr>
  </property>
</Properties>
</file>